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255A7" w14:textId="77777777" w:rsidR="001F4DED" w:rsidRPr="001F4DED" w:rsidRDefault="001F4DED" w:rsidP="001F4DED">
      <w:pPr>
        <w:pStyle w:val="berschrift1"/>
        <w:spacing w:before="0" w:after="120"/>
        <w:ind w:left="0" w:right="167"/>
        <w:rPr>
          <w:lang w:val="en-US"/>
        </w:rPr>
      </w:pPr>
      <w:r w:rsidRPr="001F4DED">
        <w:rPr>
          <w:color w:val="231F20"/>
          <w:lang w:val="en-US"/>
        </w:rPr>
        <w:t>Manhole</w:t>
      </w:r>
      <w:r w:rsidRPr="001F4DED">
        <w:rPr>
          <w:color w:val="231F20"/>
          <w:spacing w:val="-16"/>
          <w:lang w:val="en-US"/>
        </w:rPr>
        <w:t xml:space="preserve"> </w:t>
      </w:r>
      <w:r w:rsidRPr="001F4DED">
        <w:rPr>
          <w:color w:val="231F20"/>
          <w:lang w:val="en-US"/>
        </w:rPr>
        <w:t>cover</w:t>
      </w:r>
      <w:r w:rsidRPr="001F4DED">
        <w:rPr>
          <w:color w:val="231F20"/>
          <w:spacing w:val="-18"/>
          <w:lang w:val="en-US"/>
        </w:rPr>
        <w:t xml:space="preserve"> </w:t>
      </w:r>
      <w:r w:rsidRPr="001F4DED">
        <w:rPr>
          <w:color w:val="231F20"/>
          <w:lang w:val="en-US"/>
        </w:rPr>
        <w:t>SD50,</w:t>
      </w:r>
      <w:r w:rsidRPr="001F4DED">
        <w:rPr>
          <w:color w:val="231F20"/>
          <w:spacing w:val="-17"/>
          <w:lang w:val="en-US"/>
        </w:rPr>
        <w:t xml:space="preserve"> </w:t>
      </w:r>
      <w:r w:rsidRPr="001F4DED">
        <w:rPr>
          <w:color w:val="231F20"/>
          <w:lang w:val="en-US"/>
        </w:rPr>
        <w:t>weather-proof,</w:t>
      </w:r>
      <w:r w:rsidRPr="001F4DED">
        <w:rPr>
          <w:color w:val="231F20"/>
          <w:spacing w:val="-17"/>
          <w:lang w:val="en-US"/>
        </w:rPr>
        <w:t xml:space="preserve"> </w:t>
      </w:r>
      <w:r w:rsidRPr="001F4DED">
        <w:rPr>
          <w:color w:val="231F20"/>
          <w:lang w:val="en-US"/>
        </w:rPr>
        <w:t>rectangular</w:t>
      </w:r>
      <w:r w:rsidRPr="001F4DED">
        <w:rPr>
          <w:color w:val="231F20"/>
          <w:spacing w:val="-16"/>
          <w:lang w:val="en-US"/>
        </w:rPr>
        <w:t xml:space="preserve"> </w:t>
      </w:r>
      <w:r w:rsidRPr="001F4DED">
        <w:rPr>
          <w:color w:val="231F20"/>
          <w:spacing w:val="-4"/>
          <w:lang w:val="en-US"/>
        </w:rPr>
        <w:t>type</w:t>
      </w:r>
    </w:p>
    <w:p w14:paraId="49FCA8EE" w14:textId="77777777" w:rsidR="001F4DED" w:rsidRPr="001F4DED" w:rsidRDefault="001F4DED" w:rsidP="001F4DED">
      <w:pPr>
        <w:pStyle w:val="Textkrper"/>
        <w:spacing w:after="120" w:line="276" w:lineRule="auto"/>
        <w:ind w:right="167"/>
        <w:rPr>
          <w:b/>
          <w:color w:val="231F20"/>
          <w:lang w:val="en-US"/>
        </w:rPr>
      </w:pPr>
    </w:p>
    <w:p w14:paraId="7CE99450" w14:textId="77777777" w:rsidR="001F4DED" w:rsidRPr="004C76B2" w:rsidRDefault="001F4DED" w:rsidP="001F4DED">
      <w:pPr>
        <w:pStyle w:val="Textkrper"/>
        <w:spacing w:after="120" w:line="276" w:lineRule="auto"/>
        <w:ind w:right="167"/>
        <w:rPr>
          <w:lang w:val="en-US"/>
        </w:rPr>
      </w:pPr>
      <w:r w:rsidRPr="004C76B2">
        <w:rPr>
          <w:b/>
          <w:color w:val="231F20"/>
          <w:lang w:val="en-US"/>
        </w:rPr>
        <w:t xml:space="preserve">Manhole cover, </w:t>
      </w:r>
      <w:r w:rsidRPr="004C76B2">
        <w:rPr>
          <w:color w:val="231F20"/>
          <w:lang w:val="en-US"/>
        </w:rPr>
        <w:t>weatherproof, rectangular in shape, completely</w:t>
      </w:r>
      <w:r w:rsidRPr="004C76B2">
        <w:rPr>
          <w:color w:val="231F20"/>
          <w:spacing w:val="-9"/>
          <w:lang w:val="en-US"/>
        </w:rPr>
        <w:t xml:space="preserve"> </w:t>
      </w:r>
      <w:r w:rsidRPr="004C76B2">
        <w:rPr>
          <w:color w:val="231F20"/>
          <w:lang w:val="en-US"/>
        </w:rPr>
        <w:t>made</w:t>
      </w:r>
      <w:r w:rsidRPr="004C76B2">
        <w:rPr>
          <w:color w:val="231F20"/>
          <w:spacing w:val="-9"/>
          <w:lang w:val="en-US"/>
        </w:rPr>
        <w:t xml:space="preserve"> </w:t>
      </w:r>
      <w:r w:rsidRPr="004C76B2">
        <w:rPr>
          <w:color w:val="231F20"/>
          <w:lang w:val="en-US"/>
        </w:rPr>
        <w:t>of</w:t>
      </w:r>
      <w:r w:rsidRPr="004C76B2">
        <w:rPr>
          <w:color w:val="231F20"/>
          <w:spacing w:val="-9"/>
          <w:lang w:val="en-US"/>
        </w:rPr>
        <w:t xml:space="preserve"> </w:t>
      </w:r>
      <w:r w:rsidRPr="004C76B2">
        <w:rPr>
          <w:color w:val="231F20"/>
          <w:lang w:val="en-US"/>
        </w:rPr>
        <w:t>1.4307</w:t>
      </w:r>
      <w:r w:rsidRPr="004C76B2">
        <w:rPr>
          <w:color w:val="231F20"/>
          <w:spacing w:val="-9"/>
          <w:lang w:val="en-US"/>
        </w:rPr>
        <w:t xml:space="preserve"> </w:t>
      </w:r>
      <w:r w:rsidRPr="004C76B2">
        <w:rPr>
          <w:color w:val="231F20"/>
          <w:lang w:val="en-US"/>
        </w:rPr>
        <w:t>(AISI</w:t>
      </w:r>
      <w:r w:rsidRPr="004C76B2">
        <w:rPr>
          <w:color w:val="231F20"/>
          <w:spacing w:val="-9"/>
          <w:lang w:val="en-US"/>
        </w:rPr>
        <w:t xml:space="preserve"> </w:t>
      </w:r>
      <w:r w:rsidRPr="004C76B2">
        <w:rPr>
          <w:color w:val="231F20"/>
          <w:lang w:val="en-US"/>
        </w:rPr>
        <w:t>304</w:t>
      </w:r>
      <w:r w:rsidRPr="004C76B2">
        <w:rPr>
          <w:color w:val="231F20"/>
          <w:spacing w:val="-9"/>
          <w:lang w:val="en-US"/>
        </w:rPr>
        <w:t xml:space="preserve"> </w:t>
      </w:r>
      <w:r w:rsidRPr="004C76B2">
        <w:rPr>
          <w:color w:val="231F20"/>
          <w:lang w:val="en-US"/>
        </w:rPr>
        <w:t>L)</w:t>
      </w:r>
      <w:r w:rsidRPr="004C76B2">
        <w:rPr>
          <w:color w:val="231F20"/>
          <w:spacing w:val="-9"/>
          <w:lang w:val="en-US"/>
        </w:rPr>
        <w:t xml:space="preserve"> </w:t>
      </w:r>
      <w:r w:rsidRPr="004C76B2">
        <w:rPr>
          <w:color w:val="231F20"/>
          <w:lang w:val="en-US"/>
        </w:rPr>
        <w:t>stainless</w:t>
      </w:r>
      <w:r w:rsidRPr="004C76B2">
        <w:rPr>
          <w:color w:val="231F20"/>
          <w:spacing w:val="-9"/>
          <w:lang w:val="en-US"/>
        </w:rPr>
        <w:t xml:space="preserve"> </w:t>
      </w:r>
      <w:r w:rsidRPr="004C76B2">
        <w:rPr>
          <w:color w:val="231F20"/>
          <w:lang w:val="en-US"/>
        </w:rPr>
        <w:t>steel,</w:t>
      </w:r>
      <w:r w:rsidRPr="004C76B2">
        <w:rPr>
          <w:color w:val="231F20"/>
          <w:spacing w:val="-9"/>
          <w:lang w:val="en-US"/>
        </w:rPr>
        <w:t xml:space="preserve"> </w:t>
      </w:r>
      <w:r w:rsidRPr="004C76B2">
        <w:rPr>
          <w:color w:val="231F20"/>
          <w:spacing w:val="-9"/>
          <w:lang w:val="en-US"/>
        </w:rPr>
        <w:br/>
      </w:r>
      <w:r w:rsidRPr="004C76B2">
        <w:rPr>
          <w:color w:val="231F20"/>
          <w:lang w:val="en-US"/>
        </w:rPr>
        <w:t>in accordance with DIN 1239, suitable for use in Ex zone 1.</w:t>
      </w:r>
    </w:p>
    <w:p w14:paraId="27EBC9CF" w14:textId="77777777" w:rsidR="001F4DED" w:rsidRPr="004C76B2" w:rsidRDefault="001F4DED" w:rsidP="001F4DED">
      <w:pPr>
        <w:pStyle w:val="Textkrper"/>
        <w:spacing w:after="120" w:line="276" w:lineRule="auto"/>
        <w:ind w:right="167"/>
        <w:rPr>
          <w:lang w:val="en-US"/>
        </w:rPr>
      </w:pPr>
      <w:r w:rsidRPr="004C76B2">
        <w:rPr>
          <w:b/>
          <w:color w:val="231F20"/>
          <w:lang w:val="en-US"/>
        </w:rPr>
        <w:t xml:space="preserve">The cover </w:t>
      </w:r>
      <w:r w:rsidRPr="004C76B2">
        <w:rPr>
          <w:color w:val="231F20"/>
          <w:lang w:val="en-US"/>
        </w:rPr>
        <w:t>consists of a stainless steel checkered plate, with flush-mounted screw closure, as standard with hardened</w:t>
      </w:r>
      <w:r w:rsidRPr="004C76B2">
        <w:rPr>
          <w:color w:val="231F20"/>
          <w:spacing w:val="-2"/>
          <w:lang w:val="en-US"/>
        </w:rPr>
        <w:t xml:space="preserve"> </w:t>
      </w:r>
      <w:r w:rsidRPr="004C76B2">
        <w:rPr>
          <w:color w:val="231F20"/>
          <w:lang w:val="en-US"/>
        </w:rPr>
        <w:t>safety</w:t>
      </w:r>
      <w:r w:rsidRPr="004C76B2">
        <w:rPr>
          <w:color w:val="231F20"/>
          <w:spacing w:val="-2"/>
          <w:lang w:val="en-US"/>
        </w:rPr>
        <w:t xml:space="preserve"> </w:t>
      </w:r>
      <w:r w:rsidRPr="004C76B2">
        <w:rPr>
          <w:color w:val="231F20"/>
          <w:lang w:val="en-US"/>
        </w:rPr>
        <w:t>lock</w:t>
      </w:r>
      <w:r w:rsidRPr="004C76B2">
        <w:rPr>
          <w:color w:val="231F20"/>
          <w:spacing w:val="-2"/>
          <w:lang w:val="en-US"/>
        </w:rPr>
        <w:t xml:space="preserve"> </w:t>
      </w:r>
      <w:r w:rsidRPr="004C76B2">
        <w:rPr>
          <w:color w:val="231F20"/>
          <w:lang w:val="en-US"/>
        </w:rPr>
        <w:t>(the</w:t>
      </w:r>
      <w:r w:rsidRPr="004C76B2">
        <w:rPr>
          <w:color w:val="231F20"/>
          <w:spacing w:val="-2"/>
          <w:lang w:val="en-US"/>
        </w:rPr>
        <w:t xml:space="preserve"> </w:t>
      </w:r>
      <w:r w:rsidRPr="004C76B2">
        <w:rPr>
          <w:color w:val="231F20"/>
          <w:lang w:val="en-US"/>
        </w:rPr>
        <w:t>profile</w:t>
      </w:r>
      <w:r w:rsidRPr="004C76B2">
        <w:rPr>
          <w:color w:val="231F20"/>
          <w:spacing w:val="-2"/>
          <w:lang w:val="en-US"/>
        </w:rPr>
        <w:t xml:space="preserve"> </w:t>
      </w:r>
      <w:r w:rsidRPr="004C76B2">
        <w:rPr>
          <w:color w:val="231F20"/>
          <w:lang w:val="en-US"/>
        </w:rPr>
        <w:t>cylinder</w:t>
      </w:r>
      <w:r w:rsidRPr="004C76B2">
        <w:rPr>
          <w:color w:val="231F20"/>
          <w:spacing w:val="-2"/>
          <w:lang w:val="en-US"/>
        </w:rPr>
        <w:t xml:space="preserve"> </w:t>
      </w:r>
      <w:r w:rsidRPr="004C76B2">
        <w:rPr>
          <w:color w:val="231F20"/>
          <w:lang w:val="en-US"/>
        </w:rPr>
        <w:t>to</w:t>
      </w:r>
      <w:r w:rsidRPr="004C76B2">
        <w:rPr>
          <w:color w:val="231F20"/>
          <w:spacing w:val="-1"/>
          <w:lang w:val="en-US"/>
        </w:rPr>
        <w:t xml:space="preserve"> </w:t>
      </w:r>
      <w:r w:rsidRPr="004C76B2">
        <w:rPr>
          <w:color w:val="231F20"/>
          <w:lang w:val="en-US"/>
        </w:rPr>
        <w:t>be</w:t>
      </w:r>
      <w:r w:rsidRPr="004C76B2">
        <w:rPr>
          <w:color w:val="231F20"/>
          <w:spacing w:val="-2"/>
          <w:lang w:val="en-US"/>
        </w:rPr>
        <w:t xml:space="preserve"> </w:t>
      </w:r>
      <w:r w:rsidRPr="004C76B2">
        <w:rPr>
          <w:color w:val="231F20"/>
          <w:lang w:val="en-US"/>
        </w:rPr>
        <w:t>provided by the customer), with handle, stainless steel gas- assisted spring dampers with integrated arrester which can only be undone by hand; robust, concealed hinges. Replaceable, insect-proof rubber seal attached to the underside</w:t>
      </w:r>
      <w:r w:rsidRPr="004C76B2">
        <w:rPr>
          <w:color w:val="231F20"/>
          <w:spacing w:val="-11"/>
          <w:lang w:val="en-US"/>
        </w:rPr>
        <w:t xml:space="preserve"> </w:t>
      </w:r>
      <w:r w:rsidRPr="004C76B2">
        <w:rPr>
          <w:color w:val="231F20"/>
          <w:lang w:val="en-US"/>
        </w:rPr>
        <w:t>of</w:t>
      </w:r>
      <w:r w:rsidRPr="004C76B2">
        <w:rPr>
          <w:color w:val="231F20"/>
          <w:spacing w:val="-11"/>
          <w:lang w:val="en-US"/>
        </w:rPr>
        <w:t xml:space="preserve"> </w:t>
      </w:r>
      <w:r w:rsidRPr="004C76B2">
        <w:rPr>
          <w:color w:val="231F20"/>
          <w:lang w:val="en-US"/>
        </w:rPr>
        <w:t>the</w:t>
      </w:r>
      <w:r w:rsidRPr="004C76B2">
        <w:rPr>
          <w:color w:val="231F20"/>
          <w:spacing w:val="-11"/>
          <w:lang w:val="en-US"/>
        </w:rPr>
        <w:t xml:space="preserve"> </w:t>
      </w:r>
      <w:r w:rsidRPr="004C76B2">
        <w:rPr>
          <w:color w:val="231F20"/>
          <w:lang w:val="en-US"/>
        </w:rPr>
        <w:t>cover</w:t>
      </w:r>
      <w:r w:rsidRPr="004C76B2">
        <w:rPr>
          <w:color w:val="231F20"/>
          <w:spacing w:val="-11"/>
          <w:lang w:val="en-US"/>
        </w:rPr>
        <w:t xml:space="preserve"> </w:t>
      </w:r>
      <w:r w:rsidRPr="004C76B2">
        <w:rPr>
          <w:color w:val="231F20"/>
          <w:lang w:val="en-US"/>
        </w:rPr>
        <w:t>for</w:t>
      </w:r>
      <w:r w:rsidRPr="004C76B2">
        <w:rPr>
          <w:color w:val="231F20"/>
          <w:spacing w:val="-11"/>
          <w:lang w:val="en-US"/>
        </w:rPr>
        <w:t xml:space="preserve"> </w:t>
      </w:r>
      <w:r w:rsidRPr="004C76B2">
        <w:rPr>
          <w:color w:val="231F20"/>
          <w:lang w:val="en-US"/>
        </w:rPr>
        <w:t>low</w:t>
      </w:r>
      <w:r w:rsidRPr="004C76B2">
        <w:rPr>
          <w:color w:val="231F20"/>
          <w:spacing w:val="-11"/>
          <w:lang w:val="en-US"/>
        </w:rPr>
        <w:t xml:space="preserve"> </w:t>
      </w:r>
      <w:r w:rsidRPr="004C76B2">
        <w:rPr>
          <w:color w:val="231F20"/>
          <w:lang w:val="en-US"/>
        </w:rPr>
        <w:t>wear.</w:t>
      </w:r>
      <w:r w:rsidRPr="004C76B2">
        <w:rPr>
          <w:color w:val="231F20"/>
          <w:spacing w:val="-11"/>
          <w:lang w:val="en-US"/>
        </w:rPr>
        <w:t xml:space="preserve"> </w:t>
      </w:r>
      <w:r w:rsidRPr="004C76B2">
        <w:rPr>
          <w:color w:val="231F20"/>
          <w:lang w:val="en-US"/>
        </w:rPr>
        <w:t>Load-bearing</w:t>
      </w:r>
      <w:r w:rsidRPr="004C76B2">
        <w:rPr>
          <w:color w:val="231F20"/>
          <w:spacing w:val="-11"/>
          <w:lang w:val="en-US"/>
        </w:rPr>
        <w:t xml:space="preserve"> </w:t>
      </w:r>
      <w:r w:rsidRPr="004C76B2">
        <w:rPr>
          <w:color w:val="231F20"/>
          <w:lang w:val="en-US"/>
        </w:rPr>
        <w:t>up</w:t>
      </w:r>
      <w:r w:rsidRPr="004C76B2">
        <w:rPr>
          <w:color w:val="231F20"/>
          <w:spacing w:val="-11"/>
          <w:lang w:val="en-US"/>
        </w:rPr>
        <w:t xml:space="preserve"> </w:t>
      </w:r>
      <w:r w:rsidRPr="004C76B2">
        <w:rPr>
          <w:color w:val="231F20"/>
          <w:lang w:val="en-US"/>
        </w:rPr>
        <w:t>to</w:t>
      </w:r>
      <w:r w:rsidRPr="004C76B2">
        <w:rPr>
          <w:color w:val="231F20"/>
          <w:spacing w:val="-10"/>
          <w:lang w:val="en-US"/>
        </w:rPr>
        <w:t xml:space="preserve"> </w:t>
      </w:r>
      <w:r w:rsidRPr="004C76B2">
        <w:rPr>
          <w:color w:val="231F20"/>
          <w:lang w:val="en-US"/>
        </w:rPr>
        <w:t xml:space="preserve">5 </w:t>
      </w:r>
      <w:proofErr w:type="spellStart"/>
      <w:r w:rsidRPr="004C76B2">
        <w:rPr>
          <w:color w:val="231F20"/>
          <w:lang w:val="en-US"/>
        </w:rPr>
        <w:t>kN.</w:t>
      </w:r>
      <w:proofErr w:type="spellEnd"/>
      <w:r w:rsidRPr="004C76B2">
        <w:rPr>
          <w:color w:val="231F20"/>
          <w:lang w:val="en-US"/>
        </w:rPr>
        <w:t xml:space="preserve"> A connection for potential </w:t>
      </w:r>
      <w:proofErr w:type="spellStart"/>
      <w:r w:rsidRPr="004C76B2">
        <w:rPr>
          <w:color w:val="231F20"/>
          <w:lang w:val="en-US"/>
        </w:rPr>
        <w:t>equalisation</w:t>
      </w:r>
      <w:proofErr w:type="spellEnd"/>
      <w:r w:rsidRPr="004C76B2">
        <w:rPr>
          <w:color w:val="231F20"/>
          <w:lang w:val="en-US"/>
        </w:rPr>
        <w:t xml:space="preserve"> is provided.</w:t>
      </w:r>
    </w:p>
    <w:p w14:paraId="1BA9D0B6" w14:textId="77777777" w:rsidR="001F4DED" w:rsidRDefault="001F4DED" w:rsidP="001F4DED">
      <w:pPr>
        <w:pStyle w:val="Textkrper"/>
        <w:spacing w:after="120" w:line="276" w:lineRule="auto"/>
        <w:ind w:right="167"/>
      </w:pPr>
      <w:r>
        <w:rPr>
          <w:b/>
          <w:color w:val="231F20"/>
        </w:rPr>
        <w:t xml:space="preserve">The frame </w:t>
      </w:r>
      <w:proofErr w:type="spellStart"/>
      <w:r>
        <w:rPr>
          <w:color w:val="231F20"/>
        </w:rPr>
        <w:t>consists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a Z-profile,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a </w:t>
      </w:r>
      <w:proofErr w:type="spellStart"/>
      <w:r>
        <w:rPr>
          <w:color w:val="231F20"/>
        </w:rPr>
        <w:t>height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150 mm; </w:t>
      </w:r>
      <w:proofErr w:type="spellStart"/>
      <w:r>
        <w:rPr>
          <w:color w:val="231F20"/>
        </w:rPr>
        <w:t>ventilation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openings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are</w:t>
      </w:r>
      <w:proofErr w:type="spellEnd"/>
      <w:r>
        <w:rPr>
          <w:color w:val="231F20"/>
        </w:rPr>
        <w:t xml:space="preserve"> incorporated in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frame, </w:t>
      </w:r>
      <w:proofErr w:type="spellStart"/>
      <w:r>
        <w:rPr>
          <w:color w:val="231F20"/>
        </w:rPr>
        <w:t>covered</w:t>
      </w:r>
      <w:proofErr w:type="spellEnd"/>
      <w:r>
        <w:rPr>
          <w:color w:val="231F20"/>
        </w:rPr>
        <w:t xml:space="preserve"> at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back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insect-proof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steel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mesh</w:t>
      </w:r>
      <w:proofErr w:type="spellEnd"/>
      <w:r>
        <w:rPr>
          <w:color w:val="231F20"/>
        </w:rPr>
        <w:t xml:space="preserve">. Frame support </w:t>
      </w:r>
      <w:proofErr w:type="spellStart"/>
      <w:r>
        <w:rPr>
          <w:color w:val="231F20"/>
        </w:rPr>
        <w:t>width</w:t>
      </w:r>
      <w:proofErr w:type="spellEnd"/>
      <w:r>
        <w:rPr>
          <w:color w:val="231F20"/>
        </w:rPr>
        <w:t xml:space="preserve"> 80 mm, </w:t>
      </w:r>
      <w:proofErr w:type="spellStart"/>
      <w:r>
        <w:rPr>
          <w:color w:val="231F20"/>
        </w:rPr>
        <w:t>prepared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bolted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fixing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through</w:t>
      </w:r>
      <w:proofErr w:type="spellEnd"/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12"/>
        </w:rPr>
        <w:t xml:space="preserve"> </w:t>
      </w:r>
      <w:r>
        <w:rPr>
          <w:color w:val="231F20"/>
        </w:rPr>
        <w:t>frame,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  <w:spacing w:val="-12"/>
        </w:rPr>
        <w:t xml:space="preserve"> </w:t>
      </w:r>
      <w:r>
        <w:rPr>
          <w:color w:val="231F20"/>
        </w:rPr>
        <w:t>additional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lift-off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protection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inside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shaft</w:t>
      </w:r>
      <w:proofErr w:type="spellEnd"/>
      <w:r>
        <w:rPr>
          <w:color w:val="231F20"/>
        </w:rPr>
        <w:t>.</w:t>
      </w:r>
    </w:p>
    <w:p w14:paraId="5CB886AB" w14:textId="77777777" w:rsidR="001F4DED" w:rsidRDefault="001F4DED" w:rsidP="001F4DED">
      <w:pPr>
        <w:pStyle w:val="Textkrper"/>
        <w:spacing w:after="120" w:line="276" w:lineRule="auto"/>
        <w:ind w:right="167"/>
      </w:pPr>
      <w:r>
        <w:rPr>
          <w:b/>
          <w:color w:val="231F20"/>
        </w:rPr>
        <w:t>The</w:t>
      </w:r>
      <w:r>
        <w:rPr>
          <w:b/>
          <w:color w:val="231F20"/>
          <w:spacing w:val="-12"/>
        </w:rPr>
        <w:t xml:space="preserve"> </w:t>
      </w:r>
      <w:proofErr w:type="spellStart"/>
      <w:r>
        <w:rPr>
          <w:b/>
          <w:color w:val="231F20"/>
        </w:rPr>
        <w:t>guard</w:t>
      </w:r>
      <w:proofErr w:type="spellEnd"/>
      <w:r>
        <w:rPr>
          <w:b/>
          <w:color w:val="231F20"/>
          <w:spacing w:val="-11"/>
        </w:rPr>
        <w:t xml:space="preserve"> </w:t>
      </w:r>
      <w:r>
        <w:rPr>
          <w:b/>
          <w:color w:val="231F20"/>
        </w:rPr>
        <w:t>grate</w:t>
      </w:r>
      <w:r>
        <w:rPr>
          <w:b/>
          <w:color w:val="231F20"/>
          <w:spacing w:val="-15"/>
        </w:rPr>
        <w:t xml:space="preserve"> </w:t>
      </w:r>
      <w:proofErr w:type="spellStart"/>
      <w:r>
        <w:rPr>
          <w:color w:val="231F20"/>
        </w:rPr>
        <w:t>is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made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angle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profile</w:t>
      </w:r>
      <w:proofErr w:type="spellEnd"/>
      <w:r>
        <w:rPr>
          <w:color w:val="231F20"/>
        </w:rPr>
        <w:t>,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load-bearing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up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</w:rPr>
        <w:t xml:space="preserve"> 200 kg, </w:t>
      </w:r>
      <w:proofErr w:type="spellStart"/>
      <w:r>
        <w:rPr>
          <w:color w:val="231F20"/>
        </w:rPr>
        <w:t>integrated</w:t>
      </w:r>
      <w:proofErr w:type="spellEnd"/>
      <w:r>
        <w:rPr>
          <w:color w:val="231F20"/>
        </w:rPr>
        <w:t xml:space="preserve"> in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frame, </w:t>
      </w:r>
      <w:proofErr w:type="spellStart"/>
      <w:r>
        <w:rPr>
          <w:color w:val="231F20"/>
        </w:rPr>
        <w:t>flush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lower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edge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frame (</w:t>
      </w:r>
      <w:proofErr w:type="spellStart"/>
      <w:r>
        <w:rPr>
          <w:color w:val="231F20"/>
        </w:rPr>
        <w:t>up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</w:rPr>
        <w:t xml:space="preserve"> 1000 mm </w:t>
      </w:r>
      <w:proofErr w:type="spellStart"/>
      <w:r>
        <w:rPr>
          <w:color w:val="231F20"/>
        </w:rPr>
        <w:t>projection</w:t>
      </w:r>
      <w:proofErr w:type="spellEnd"/>
      <w:r>
        <w:rPr>
          <w:color w:val="231F20"/>
        </w:rPr>
        <w:t xml:space="preserve">),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hinges</w:t>
      </w:r>
      <w:proofErr w:type="spellEnd"/>
      <w:r>
        <w:rPr>
          <w:color w:val="231F20"/>
        </w:rPr>
        <w:t xml:space="preserve"> and gas </w:t>
      </w:r>
      <w:proofErr w:type="spellStart"/>
      <w:r>
        <w:rPr>
          <w:color w:val="231F20"/>
        </w:rPr>
        <w:t>pressure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springs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</w:rPr>
        <w:t xml:space="preserve"> easy </w:t>
      </w:r>
      <w:proofErr w:type="spellStart"/>
      <w:r>
        <w:rPr>
          <w:color w:val="231F20"/>
        </w:rPr>
        <w:t>opening</w:t>
      </w:r>
      <w:proofErr w:type="spellEnd"/>
      <w:r>
        <w:rPr>
          <w:color w:val="231F20"/>
        </w:rPr>
        <w:t xml:space="preserve"> and </w:t>
      </w:r>
      <w:proofErr w:type="spellStart"/>
      <w:r>
        <w:rPr>
          <w:color w:val="231F20"/>
        </w:rPr>
        <w:t>closing</w:t>
      </w:r>
      <w:proofErr w:type="spellEnd"/>
      <w:r>
        <w:rPr>
          <w:color w:val="231F20"/>
        </w:rPr>
        <w:t xml:space="preserve">;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guard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grate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folding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same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direction</w:t>
      </w:r>
      <w:proofErr w:type="spellEnd"/>
      <w:r>
        <w:rPr>
          <w:color w:val="231F20"/>
        </w:rPr>
        <w:t>.</w:t>
      </w:r>
    </w:p>
    <w:p w14:paraId="2E1342F0" w14:textId="77777777" w:rsidR="001F4DED" w:rsidRDefault="001F4DED" w:rsidP="001F4DED">
      <w:pPr>
        <w:pStyle w:val="Textkrper"/>
        <w:spacing w:after="120" w:line="276" w:lineRule="auto"/>
        <w:ind w:right="167"/>
      </w:pPr>
      <w:proofErr w:type="spellStart"/>
      <w:r>
        <w:rPr>
          <w:color w:val="231F20"/>
        </w:rPr>
        <w:t>Manhole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antifall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guard</w:t>
      </w:r>
      <w:proofErr w:type="spellEnd"/>
      <w:r>
        <w:rPr>
          <w:color w:val="231F20"/>
        </w:rPr>
        <w:t xml:space="preserve"> and frame </w:t>
      </w:r>
      <w:proofErr w:type="spellStart"/>
      <w:r>
        <w:rPr>
          <w:color w:val="231F20"/>
        </w:rPr>
        <w:t>shielded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arc</w:t>
      </w:r>
      <w:proofErr w:type="spellEnd"/>
      <w:r>
        <w:rPr>
          <w:color w:val="231F20"/>
        </w:rPr>
        <w:t xml:space="preserve">- </w:t>
      </w:r>
      <w:proofErr w:type="spellStart"/>
      <w:r>
        <w:rPr>
          <w:color w:val="231F20"/>
        </w:rPr>
        <w:t>welded</w:t>
      </w:r>
      <w:proofErr w:type="spellEnd"/>
      <w:r>
        <w:rPr>
          <w:color w:val="231F20"/>
        </w:rPr>
        <w:t>,</w:t>
      </w:r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acid-treated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pickling</w:t>
      </w:r>
      <w:proofErr w:type="spellEnd"/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bath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1"/>
        </w:rPr>
        <w:t xml:space="preserve"> </w:t>
      </w:r>
      <w:proofErr w:type="spellStart"/>
      <w:r>
        <w:rPr>
          <w:color w:val="231F20"/>
        </w:rPr>
        <w:t>passivated</w:t>
      </w:r>
      <w:proofErr w:type="spellEnd"/>
      <w:r>
        <w:rPr>
          <w:color w:val="231F20"/>
        </w:rPr>
        <w:t>.</w:t>
      </w:r>
    </w:p>
    <w:p w14:paraId="33FBAB7C" w14:textId="77777777" w:rsidR="001F4DED" w:rsidRDefault="001F4DED" w:rsidP="001F4DED">
      <w:pPr>
        <w:pStyle w:val="Textkrper"/>
        <w:spacing w:after="120"/>
        <w:ind w:right="167"/>
        <w:rPr>
          <w:color w:val="231F20"/>
          <w:spacing w:val="-2"/>
        </w:rPr>
      </w:pPr>
      <w:r>
        <w:rPr>
          <w:color w:val="231F20"/>
        </w:rPr>
        <w:t>Operating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key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included</w:t>
      </w:r>
      <w:proofErr w:type="spellEnd"/>
      <w:r>
        <w:rPr>
          <w:color w:val="231F20"/>
          <w:spacing w:val="-2"/>
        </w:rPr>
        <w:t>.</w:t>
      </w:r>
    </w:p>
    <w:p w14:paraId="58EE73A9" w14:textId="77777777" w:rsidR="001F4DED" w:rsidRPr="006B2A02" w:rsidRDefault="001F4DED" w:rsidP="001F4DED">
      <w:pPr>
        <w:pStyle w:val="Textkrper"/>
        <w:spacing w:after="120"/>
        <w:ind w:right="167"/>
      </w:pPr>
    </w:p>
    <w:p w14:paraId="4ED7FC66" w14:textId="77777777" w:rsidR="001F4DED" w:rsidRDefault="001F4DED" w:rsidP="001F4DED">
      <w:pPr>
        <w:spacing w:after="120"/>
        <w:ind w:right="167"/>
        <w:rPr>
          <w:b/>
          <w:sz w:val="18"/>
        </w:rPr>
      </w:pPr>
      <w:r>
        <w:rPr>
          <w:b/>
          <w:color w:val="231F20"/>
          <w:spacing w:val="-2"/>
          <w:sz w:val="18"/>
        </w:rPr>
        <w:t>Options:</w:t>
      </w:r>
    </w:p>
    <w:p w14:paraId="4EFAC55F" w14:textId="77777777" w:rsidR="001F4DED" w:rsidRDefault="001F4DED" w:rsidP="001F4DED">
      <w:pPr>
        <w:pStyle w:val="Textkrper"/>
        <w:spacing w:after="120"/>
        <w:ind w:right="167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steel</w:t>
      </w:r>
      <w:proofErr w:type="spellEnd"/>
    </w:p>
    <w:p w14:paraId="0572B212" w14:textId="77777777" w:rsidR="001F4DED" w:rsidRDefault="001F4DED" w:rsidP="001F4DED">
      <w:pPr>
        <w:pStyle w:val="Textkrper"/>
        <w:spacing w:after="120"/>
        <w:ind w:right="167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proofErr w:type="spellStart"/>
      <w:r>
        <w:rPr>
          <w:color w:val="231F20"/>
        </w:rPr>
        <w:t>Without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ventilation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openings</w:t>
      </w:r>
      <w:proofErr w:type="spellEnd"/>
    </w:p>
    <w:p w14:paraId="1C2606E0" w14:textId="77777777" w:rsidR="001F4DED" w:rsidRDefault="001F4DED" w:rsidP="001F4DED">
      <w:pPr>
        <w:pStyle w:val="Textkrper"/>
        <w:spacing w:after="120"/>
        <w:ind w:right="167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proofErr w:type="spellStart"/>
      <w:r>
        <w:rPr>
          <w:color w:val="231F20"/>
        </w:rPr>
        <w:t>Insulation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</w:rPr>
        <w:t>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CFC-</w:t>
      </w:r>
      <w:proofErr w:type="spellStart"/>
      <w:r>
        <w:rPr>
          <w:color w:val="231F20"/>
          <w:spacing w:val="-4"/>
        </w:rPr>
        <w:t>free</w:t>
      </w:r>
      <w:proofErr w:type="spellEnd"/>
    </w:p>
    <w:p w14:paraId="79E28AE6" w14:textId="77777777" w:rsidR="001F4DED" w:rsidRDefault="001F4DED" w:rsidP="001F4DED">
      <w:pPr>
        <w:pStyle w:val="Textkrper"/>
        <w:spacing w:after="120"/>
        <w:ind w:right="167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Fixing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material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foam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rubber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gasket</w:t>
      </w:r>
      <w:proofErr w:type="spellEnd"/>
    </w:p>
    <w:p w14:paraId="02F79D5C" w14:textId="77777777" w:rsidR="001F4DED" w:rsidRDefault="001F4DED" w:rsidP="001F4DED">
      <w:pPr>
        <w:pStyle w:val="Textkrper"/>
        <w:spacing w:after="120"/>
        <w:ind w:right="167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Non-standard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sizes</w:t>
      </w:r>
      <w:proofErr w:type="spellEnd"/>
    </w:p>
    <w:p w14:paraId="705C7303" w14:textId="77777777" w:rsidR="001F4DED" w:rsidRDefault="001F4DED" w:rsidP="001F4DED">
      <w:pPr>
        <w:pStyle w:val="Textkrper"/>
        <w:spacing w:after="120"/>
        <w:ind w:right="167"/>
      </w:pPr>
      <w:r>
        <w:rPr>
          <w:color w:val="231F20"/>
        </w:rPr>
        <w:t>➤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Cover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plate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smooth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sheet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metal</w:t>
      </w:r>
      <w:proofErr w:type="spellEnd"/>
    </w:p>
    <w:p w14:paraId="25B53AD2" w14:textId="77777777" w:rsidR="001F4DED" w:rsidRDefault="001F4DED" w:rsidP="001F4DED">
      <w:pPr>
        <w:pStyle w:val="Textkrper"/>
        <w:spacing w:after="120"/>
        <w:ind w:right="167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proofErr w:type="spellStart"/>
      <w:r>
        <w:rPr>
          <w:color w:val="231F20"/>
        </w:rPr>
        <w:t>Magnetic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contact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cover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open/</w:t>
      </w:r>
      <w:proofErr w:type="spellStart"/>
      <w:r>
        <w:rPr>
          <w:color w:val="231F20"/>
        </w:rPr>
        <w:t>shut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2"/>
        </w:rPr>
        <w:t>indicator</w:t>
      </w:r>
      <w:proofErr w:type="spellEnd"/>
      <w:r>
        <w:rPr>
          <w:color w:val="231F20"/>
          <w:spacing w:val="-2"/>
        </w:rPr>
        <w:t>)</w:t>
      </w:r>
    </w:p>
    <w:p w14:paraId="349E5717" w14:textId="77777777" w:rsidR="001F4DED" w:rsidRDefault="001F4DED" w:rsidP="001F4DED">
      <w:pPr>
        <w:pStyle w:val="Textkrper"/>
        <w:spacing w:after="120"/>
        <w:ind w:right="167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proofErr w:type="spellStart"/>
      <w:r>
        <w:rPr>
          <w:color w:val="231F20"/>
        </w:rPr>
        <w:t>Lacquer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according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RAL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colour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chart</w:t>
      </w:r>
      <w:proofErr w:type="spellEnd"/>
    </w:p>
    <w:p w14:paraId="397FEE2A" w14:textId="77777777" w:rsidR="001F4DED" w:rsidRPr="006B2A02" w:rsidRDefault="001F4DED" w:rsidP="001F4DED">
      <w:pPr>
        <w:pStyle w:val="Textkrper"/>
        <w:spacing w:after="120"/>
        <w:ind w:right="167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Multi-part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2"/>
        </w:rPr>
        <w:t>cover</w:t>
      </w:r>
      <w:proofErr w:type="spellEnd"/>
    </w:p>
    <w:p w14:paraId="2CDBA350" w14:textId="77777777" w:rsidR="000D4E32" w:rsidRPr="000D4E32" w:rsidRDefault="000D4E32" w:rsidP="000D4E32">
      <w:pPr>
        <w:pStyle w:val="Textkrper"/>
        <w:spacing w:after="120"/>
        <w:ind w:right="187"/>
      </w:pPr>
    </w:p>
    <w:sectPr w:rsidR="000D4E32" w:rsidRPr="000D4E32" w:rsidSect="001F4DED">
      <w:type w:val="continuous"/>
      <w:pgSz w:w="11910" w:h="16840"/>
      <w:pgMar w:top="904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68104" w14:textId="77777777" w:rsidR="0086757E" w:rsidRDefault="0086757E">
      <w:r>
        <w:separator/>
      </w:r>
    </w:p>
  </w:endnote>
  <w:endnote w:type="continuationSeparator" w:id="0">
    <w:p w14:paraId="281C0D55" w14:textId="77777777" w:rsidR="0086757E" w:rsidRDefault="00867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CD6E8" w14:textId="77777777" w:rsidR="0086757E" w:rsidRDefault="0086757E">
      <w:r>
        <w:separator/>
      </w:r>
    </w:p>
  </w:footnote>
  <w:footnote w:type="continuationSeparator" w:id="0">
    <w:p w14:paraId="2FAF626B" w14:textId="77777777" w:rsidR="0086757E" w:rsidRDefault="00867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1E"/>
    <w:rsid w:val="00020EFE"/>
    <w:rsid w:val="000D4E32"/>
    <w:rsid w:val="001F4DED"/>
    <w:rsid w:val="002A436D"/>
    <w:rsid w:val="004C76B2"/>
    <w:rsid w:val="006D674D"/>
    <w:rsid w:val="0086757E"/>
    <w:rsid w:val="00B04F03"/>
    <w:rsid w:val="00B1421E"/>
    <w:rsid w:val="00B5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C3DCE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link w:val="berschrift1Zchn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61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F4DED"/>
    <w:rPr>
      <w:rFonts w:ascii="HuberTec" w:eastAsia="HuberTec" w:hAnsi="HuberTec" w:cs="HuberTec"/>
      <w:sz w:val="32"/>
      <w:szCs w:val="32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1F4DED"/>
    <w:rPr>
      <w:rFonts w:ascii="HuberTec" w:eastAsia="HuberTec" w:hAnsi="HuberTec" w:cs="HuberTec"/>
      <w:sz w:val="18"/>
      <w:szCs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4C7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76B2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C7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76B2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SD50</TermName>
          <TermId xmlns="http://schemas.microsoft.com/office/infopath/2007/PartnerControls">97e873f4-5532-4ebe-8130-7902086d9739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166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CE314A2F-7CB7-4C55-8419-228FD5729C18}"/>
</file>

<file path=customXml/itemProps2.xml><?xml version="1.0" encoding="utf-8"?>
<ds:datastoreItem xmlns:ds="http://schemas.openxmlformats.org/officeDocument/2006/customXml" ds:itemID="{6F9EDC90-8233-4729-8EB9-D6783CFC6FD5}"/>
</file>

<file path=customXml/itemProps3.xml><?xml version="1.0" encoding="utf-8"?>
<ds:datastoreItem xmlns:ds="http://schemas.openxmlformats.org/officeDocument/2006/customXml" ds:itemID="{964157C3-ABF6-4D58-AC02-69DA9D0B754F}"/>
</file>

<file path=customXml/itemProps4.xml><?xml version="1.0" encoding="utf-8"?>
<ds:datastoreItem xmlns:ds="http://schemas.openxmlformats.org/officeDocument/2006/customXml" ds:itemID="{3F73EAC6-CD69-4112-B134-7A69565EEA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SD50</dc:title>
  <cp:lastModifiedBy>Bayerschmidt, Bianca</cp:lastModifiedBy>
  <cp:revision>5</cp:revision>
  <dcterms:created xsi:type="dcterms:W3CDTF">2023-05-15T10:30:00Z</dcterms:created>
  <dcterms:modified xsi:type="dcterms:W3CDTF">2023-10-20T05:41:00Z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4;#english|5fc7a97b-524a-4de0-8bac-0c5f072ddc49</vt:lpwstr>
  </property>
  <property fmtid="{D5CDD505-2E9C-101B-9397-08002B2CF9AE}" pid="8" name="ProdShortName">
    <vt:lpwstr>166;#SD50|97e873f4-5532-4ebe-8130-7902086d9739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