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5AD972" w14:textId="77777777" w:rsidR="001C5C9D" w:rsidRDefault="001C5C9D" w:rsidP="00116032">
      <w:pPr>
        <w:spacing w:line="220" w:lineRule="exact"/>
        <w:rPr>
          <w:rStyle w:val="Standard1"/>
          <w:b/>
          <w:u w:val="single"/>
        </w:rPr>
      </w:pPr>
    </w:p>
    <w:p w14:paraId="5E02B61B" w14:textId="77777777" w:rsidR="003B28B5" w:rsidRDefault="003B28B5" w:rsidP="00116032">
      <w:pPr>
        <w:spacing w:line="220" w:lineRule="exact"/>
        <w:rPr>
          <w:rStyle w:val="Standard1"/>
          <w:b/>
        </w:rPr>
      </w:pPr>
    </w:p>
    <w:p w14:paraId="5E02B61C" w14:textId="23C17F9F" w:rsidR="00116032" w:rsidRDefault="00116032" w:rsidP="00116032">
      <w:pPr>
        <w:spacing w:line="220" w:lineRule="exact"/>
        <w:rPr>
          <w:rStyle w:val="Standard1"/>
        </w:rPr>
      </w:pPr>
      <w:r>
        <w:rPr>
          <w:rStyle w:val="Standard1"/>
          <w:b/>
        </w:rPr>
        <w:t>Schachtabdeckung</w:t>
      </w:r>
      <w:r w:rsidR="006F6365">
        <w:rPr>
          <w:rStyle w:val="Standard1"/>
          <w:b/>
        </w:rPr>
        <w:t xml:space="preserve"> SD7</w:t>
      </w:r>
      <w:r w:rsidRPr="009E619E">
        <w:rPr>
          <w:rStyle w:val="Standard1"/>
        </w:rPr>
        <w:t xml:space="preserve">, </w:t>
      </w:r>
      <w:r w:rsidR="006F6365" w:rsidRPr="009E619E">
        <w:rPr>
          <w:rStyle w:val="Standard1"/>
        </w:rPr>
        <w:t xml:space="preserve">ausgeführt als bauseitig </w:t>
      </w:r>
      <w:proofErr w:type="spellStart"/>
      <w:r w:rsidR="006F6365" w:rsidRPr="009E619E">
        <w:rPr>
          <w:rStyle w:val="Standard1"/>
        </w:rPr>
        <w:t>verfüllbare</w:t>
      </w:r>
      <w:proofErr w:type="spellEnd"/>
      <w:r w:rsidR="006F6365" w:rsidRPr="009E619E">
        <w:rPr>
          <w:rStyle w:val="Standard1"/>
        </w:rPr>
        <w:t xml:space="preserve"> Wanne,</w:t>
      </w:r>
      <w:r w:rsidR="009E619E" w:rsidRPr="009E619E">
        <w:rPr>
          <w:rStyle w:val="Standard1"/>
        </w:rPr>
        <w:t xml:space="preserve"> zur Anpassung an</w:t>
      </w:r>
      <w:r w:rsidR="00FE5BD7">
        <w:rPr>
          <w:rStyle w:val="Standard1"/>
        </w:rPr>
        <w:t xml:space="preserve"> die</w:t>
      </w:r>
      <w:r w:rsidR="009E619E" w:rsidRPr="009E619E">
        <w:rPr>
          <w:rStyle w:val="Standard1"/>
        </w:rPr>
        <w:t xml:space="preserve"> örtliche Oberfläche, </w:t>
      </w:r>
      <w:r w:rsidR="00FE5BD7">
        <w:rPr>
          <w:rStyle w:val="Standard1"/>
        </w:rPr>
        <w:t xml:space="preserve">das optische Erscheinungsbild </w:t>
      </w:r>
      <w:r w:rsidR="001C5C9D">
        <w:rPr>
          <w:rStyle w:val="Standard1"/>
        </w:rPr>
        <w:t>bleibt</w:t>
      </w:r>
      <w:r w:rsidR="00FE5BD7">
        <w:rPr>
          <w:rStyle w:val="Standard1"/>
        </w:rPr>
        <w:t xml:space="preserve"> weitestgehend einheitlich, </w:t>
      </w:r>
      <w:r w:rsidRPr="009E619E">
        <w:rPr>
          <w:rStyle w:val="Standard1"/>
        </w:rPr>
        <w:t>flächenbündiger Einbau</w:t>
      </w:r>
      <w:r w:rsidR="006F6365" w:rsidRPr="009E619E">
        <w:rPr>
          <w:rStyle w:val="Standard1"/>
        </w:rPr>
        <w:t>,</w:t>
      </w:r>
      <w:r w:rsidRPr="009E619E">
        <w:rPr>
          <w:rStyle w:val="Standard1"/>
        </w:rPr>
        <w:t xml:space="preserve"> </w:t>
      </w:r>
      <w:r w:rsidRPr="00742D4D">
        <w:rPr>
          <w:rStyle w:val="Standard1"/>
        </w:rPr>
        <w:t>Klasse</w:t>
      </w:r>
      <w:r w:rsidR="00BD6C5D" w:rsidRPr="00742D4D">
        <w:rPr>
          <w:rStyle w:val="Standard1"/>
        </w:rPr>
        <w:t>n B125 und</w:t>
      </w:r>
      <w:r w:rsidRPr="00742D4D">
        <w:rPr>
          <w:rStyle w:val="Standard1"/>
        </w:rPr>
        <w:t xml:space="preserve"> D400</w:t>
      </w:r>
      <w:r w:rsidRPr="009E619E">
        <w:rPr>
          <w:rStyle w:val="Standard1"/>
        </w:rPr>
        <w:t>, regensicher, drucklos geruchsdicht, einbruchhemmend, rechteckig, aus Edelstahl</w:t>
      </w:r>
      <w:r>
        <w:rPr>
          <w:rStyle w:val="Standard1"/>
        </w:rPr>
        <w:t xml:space="preserve"> Werkstoff-Nr. 1.4307 (AISI 304 L).</w:t>
      </w:r>
    </w:p>
    <w:p w14:paraId="5E02B61D" w14:textId="0E7C2A8B" w:rsidR="00116032" w:rsidRDefault="00116032" w:rsidP="00116032">
      <w:pPr>
        <w:spacing w:line="220" w:lineRule="exact"/>
        <w:rPr>
          <w:rStyle w:val="Standard1"/>
        </w:rPr>
      </w:pPr>
      <w:r>
        <w:rPr>
          <w:rStyle w:val="Standard1"/>
        </w:rPr>
        <w:t>Geeignet für den Ein</w:t>
      </w:r>
      <w:r w:rsidR="00B344A1">
        <w:rPr>
          <w:rStyle w:val="Standard1"/>
        </w:rPr>
        <w:t>satz in Ex-Zone 1</w:t>
      </w:r>
      <w:r>
        <w:rPr>
          <w:rStyle w:val="Standard1"/>
        </w:rPr>
        <w:t>.</w:t>
      </w:r>
    </w:p>
    <w:p w14:paraId="55BAA8D3" w14:textId="77777777" w:rsidR="00571121" w:rsidRDefault="00571121" w:rsidP="00571121">
      <w:pPr>
        <w:spacing w:line="220" w:lineRule="exact"/>
        <w:rPr>
          <w:rStyle w:val="Standard1"/>
        </w:rPr>
      </w:pPr>
      <w:r w:rsidRPr="00742D4D">
        <w:rPr>
          <w:rStyle w:val="Standard1"/>
        </w:rPr>
        <w:t>Für ruhenden Verkehr geeignet.</w:t>
      </w:r>
    </w:p>
    <w:p w14:paraId="5E02B61F" w14:textId="77777777" w:rsidR="00116032" w:rsidRPr="009E619E" w:rsidRDefault="009E619E" w:rsidP="009E619E">
      <w:pPr>
        <w:pStyle w:val="SubHeading"/>
        <w:spacing w:line="220" w:lineRule="exact"/>
        <w:rPr>
          <w:b w:val="0"/>
        </w:rPr>
      </w:pPr>
      <w:r w:rsidRPr="009E619E">
        <w:rPr>
          <w:b w:val="0"/>
        </w:rPr>
        <w:t>G</w:t>
      </w:r>
      <w:r w:rsidR="00116032" w:rsidRPr="009E619E">
        <w:rPr>
          <w:b w:val="0"/>
        </w:rPr>
        <w:t>eprüft nach</w:t>
      </w:r>
      <w:r w:rsidRPr="009E619E">
        <w:rPr>
          <w:b w:val="0"/>
        </w:rPr>
        <w:t xml:space="preserve"> </w:t>
      </w:r>
      <w:r w:rsidR="00116032" w:rsidRPr="009E619E">
        <w:rPr>
          <w:b w:val="0"/>
        </w:rPr>
        <w:t>DIN 1229 / DIN EN 124-1:2015-09 und DIN EN 124-3:2015-09</w:t>
      </w:r>
      <w:r w:rsidRPr="009E619E">
        <w:rPr>
          <w:b w:val="0"/>
        </w:rPr>
        <w:t xml:space="preserve"> durch das MPA Bremen</w:t>
      </w:r>
      <w:r w:rsidR="00116032" w:rsidRPr="009E619E">
        <w:rPr>
          <w:b w:val="0"/>
        </w:rPr>
        <w:t>.</w:t>
      </w:r>
    </w:p>
    <w:p w14:paraId="5E02B620" w14:textId="03374111" w:rsidR="00116032" w:rsidRDefault="00116032" w:rsidP="00116032">
      <w:pPr>
        <w:spacing w:line="220" w:lineRule="exact"/>
        <w:rPr>
          <w:rStyle w:val="Standard1"/>
        </w:rPr>
      </w:pPr>
      <w:r>
        <w:rPr>
          <w:rStyle w:val="Standard1"/>
          <w:b/>
        </w:rPr>
        <w:t>Deckel</w:t>
      </w:r>
      <w:r>
        <w:rPr>
          <w:rStyle w:val="Standard1"/>
        </w:rPr>
        <w:t xml:space="preserve"> </w:t>
      </w:r>
      <w:r w:rsidR="009E619E">
        <w:rPr>
          <w:rStyle w:val="Standard1"/>
        </w:rPr>
        <w:t>ausgeführt als Wanne, zum bauseitigen Verfüllen, Füllhöhe 30 mm</w:t>
      </w:r>
      <w:r>
        <w:rPr>
          <w:rStyle w:val="Standard1"/>
        </w:rPr>
        <w:t>, mit zusätzlicher untenliegender Versteifung entsprechend der Belastungsklasse, Dichtung verschleißarm an der Deckelunterseite angebracht</w:t>
      </w:r>
      <w:r w:rsidRPr="00742D4D">
        <w:rPr>
          <w:rStyle w:val="Standard1"/>
        </w:rPr>
        <w:t xml:space="preserve">, mit </w:t>
      </w:r>
      <w:r w:rsidR="00AA25F2" w:rsidRPr="00742D4D">
        <w:rPr>
          <w:rStyle w:val="Standard1"/>
        </w:rPr>
        <w:t xml:space="preserve">einem oder </w:t>
      </w:r>
      <w:r w:rsidR="00824AA4" w:rsidRPr="00742D4D">
        <w:rPr>
          <w:rStyle w:val="Standard1"/>
        </w:rPr>
        <w:t xml:space="preserve">mehreren </w:t>
      </w:r>
      <w:r w:rsidRPr="00742D4D">
        <w:rPr>
          <w:rStyle w:val="Standard1"/>
        </w:rPr>
        <w:t>Schraubverschl</w:t>
      </w:r>
      <w:r w:rsidR="009E619E" w:rsidRPr="00742D4D">
        <w:rPr>
          <w:rStyle w:val="Standard1"/>
        </w:rPr>
        <w:t>ü</w:t>
      </w:r>
      <w:r w:rsidRPr="00742D4D">
        <w:rPr>
          <w:rStyle w:val="Standard1"/>
        </w:rPr>
        <w:t>ss</w:t>
      </w:r>
      <w:r w:rsidR="009E619E" w:rsidRPr="00742D4D">
        <w:rPr>
          <w:rStyle w:val="Standard1"/>
        </w:rPr>
        <w:t>en</w:t>
      </w:r>
      <w:r w:rsidR="003A3A59" w:rsidRPr="00742D4D">
        <w:rPr>
          <w:rStyle w:val="Standard1"/>
        </w:rPr>
        <w:t xml:space="preserve"> je nach Größe der Abdeckung</w:t>
      </w:r>
      <w:r>
        <w:rPr>
          <w:rStyle w:val="Standard1"/>
        </w:rPr>
        <w:t>, einschließlich aufbohrgeschütztem Verschlusssystem, mit serienmäßig gehärtetem Sicherheitssteckschloss lt. kriminalamtlicher und normativer Vorschrift, der Profilzylinder ist bauseits zu stellen und muss DIN 18252 entsprechen. Innen liegende, frostsichere Scharniere, Öffnungshilfe in For</w:t>
      </w:r>
      <w:r w:rsidR="00564668">
        <w:rPr>
          <w:rStyle w:val="Standard1"/>
        </w:rPr>
        <w:t>m von Edelstahl-Gasdruckfedern</w:t>
      </w:r>
      <w:r>
        <w:rPr>
          <w:rStyle w:val="Standard1"/>
        </w:rPr>
        <w:t xml:space="preserve"> mit integrierter, nur von Hand zu lösender Aufhaltevorrichtung.</w:t>
      </w:r>
    </w:p>
    <w:p w14:paraId="5E02B621" w14:textId="77777777" w:rsidR="00116032" w:rsidRDefault="00116032" w:rsidP="00116032">
      <w:pPr>
        <w:spacing w:line="220" w:lineRule="exact"/>
      </w:pPr>
      <w:r>
        <w:rPr>
          <w:rStyle w:val="Standard1"/>
        </w:rPr>
        <w:t>Anschluss für Potentialausgleich vorbereitet.</w:t>
      </w:r>
    </w:p>
    <w:p w14:paraId="5E02B622" w14:textId="77777777" w:rsidR="00116032" w:rsidRDefault="00116032" w:rsidP="00116032">
      <w:pPr>
        <w:spacing w:line="220" w:lineRule="exact"/>
        <w:rPr>
          <w:rStyle w:val="Standard1"/>
        </w:rPr>
      </w:pPr>
      <w:r>
        <w:rPr>
          <w:rStyle w:val="Standard1"/>
          <w:b/>
        </w:rPr>
        <w:t>Montagefreundlicher Schalungsrahmen,</w:t>
      </w:r>
      <w:r>
        <w:rPr>
          <w:rStyle w:val="Standard1"/>
        </w:rPr>
        <w:t xml:space="preserve"> mit einer </w:t>
      </w:r>
      <w:r w:rsidR="009E619E">
        <w:rPr>
          <w:rStyle w:val="Standard1"/>
        </w:rPr>
        <w:t>H</w:t>
      </w:r>
      <w:r>
        <w:rPr>
          <w:rStyle w:val="Standard1"/>
        </w:rPr>
        <w:t xml:space="preserve">öhe von 250 mm, mit äußeren Mauerankern, vorgerichtet zum Einbetonieren (Beton bis </w:t>
      </w:r>
      <w:r w:rsidR="009E619E">
        <w:rPr>
          <w:rStyle w:val="Standard1"/>
        </w:rPr>
        <w:t xml:space="preserve">60 mm unter </w:t>
      </w:r>
      <w:r>
        <w:rPr>
          <w:rStyle w:val="Standard1"/>
        </w:rPr>
        <w:t>Rahmenoberkante) und zur Fixierung an der Schalung</w:t>
      </w:r>
      <w:r w:rsidR="009E619E">
        <w:rPr>
          <w:rStyle w:val="Standard1"/>
        </w:rPr>
        <w:t>.</w:t>
      </w:r>
      <w:r>
        <w:rPr>
          <w:rStyle w:val="Standard1"/>
        </w:rPr>
        <w:t xml:space="preserve"> </w:t>
      </w:r>
      <w:r w:rsidR="00FE5BD7">
        <w:rPr>
          <w:rStyle w:val="Standard1"/>
        </w:rPr>
        <w:t xml:space="preserve">Rahmen in verstärkter Ausführung, so dass der </w:t>
      </w:r>
      <w:r w:rsidR="003B28B5">
        <w:rPr>
          <w:rStyle w:val="Standard1"/>
        </w:rPr>
        <w:t>bauseitige Belag (maximale Höhe = 60 mm)</w:t>
      </w:r>
      <w:r w:rsidR="00FE5BD7">
        <w:rPr>
          <w:rStyle w:val="Standard1"/>
        </w:rPr>
        <w:t xml:space="preserve"> bis zur Rahmenaußenkante angebracht werden kann.</w:t>
      </w:r>
    </w:p>
    <w:p w14:paraId="5E02B623" w14:textId="77777777" w:rsidR="00116032" w:rsidRDefault="00116032" w:rsidP="00116032">
      <w:pPr>
        <w:spacing w:line="220" w:lineRule="exact"/>
        <w:rPr>
          <w:rStyle w:val="Standard1"/>
        </w:rPr>
      </w:pPr>
      <w:r>
        <w:rPr>
          <w:rStyle w:val="Standard1"/>
        </w:rPr>
        <w:t>Schachtabdeckung und Rahmen unter Schutzgas geschweißt, im Tauchbad gebeizt und passiviert.</w:t>
      </w:r>
    </w:p>
    <w:p w14:paraId="5E02B624" w14:textId="77777777" w:rsidR="00116032" w:rsidRDefault="00116032" w:rsidP="00116032">
      <w:pPr>
        <w:spacing w:line="220" w:lineRule="exact"/>
        <w:rPr>
          <w:rStyle w:val="Standard1"/>
        </w:rPr>
      </w:pPr>
      <w:r>
        <w:rPr>
          <w:rStyle w:val="Standard1"/>
        </w:rPr>
        <w:t>Einschließlich entsprechendem Bedienungsschlüssel.</w:t>
      </w:r>
    </w:p>
    <w:p w14:paraId="5E02B625" w14:textId="77777777" w:rsidR="0040383E" w:rsidRDefault="0040383E" w:rsidP="00116032">
      <w:pPr>
        <w:spacing w:line="220" w:lineRule="exact"/>
        <w:rPr>
          <w:rStyle w:val="Standard1"/>
        </w:rPr>
      </w:pPr>
    </w:p>
    <w:p w14:paraId="4E04FC39" w14:textId="237BE7E3" w:rsidR="00101163" w:rsidRDefault="00564668" w:rsidP="00116032">
      <w:pPr>
        <w:spacing w:line="220" w:lineRule="exact"/>
      </w:pPr>
      <w:r>
        <w:rPr>
          <w:rStyle w:val="Standard1"/>
        </w:rPr>
        <w:t>m</w:t>
      </w:r>
      <w:r>
        <w:t>aximale Fläche 1 m² und maximale Seitenlänge 1400 mm.</w:t>
      </w:r>
    </w:p>
    <w:p w14:paraId="637BA8A2" w14:textId="77777777" w:rsidR="00564668" w:rsidRPr="00B344A1" w:rsidRDefault="00564668" w:rsidP="00116032">
      <w:pPr>
        <w:spacing w:line="220" w:lineRule="exact"/>
        <w:rPr>
          <w:rStyle w:val="Standard1"/>
        </w:rPr>
      </w:pPr>
    </w:p>
    <w:p w14:paraId="69558265" w14:textId="69003831" w:rsidR="005D2192" w:rsidRPr="00B344A1" w:rsidRDefault="00116032" w:rsidP="005D2192">
      <w:pPr>
        <w:pStyle w:val="SubHeading"/>
        <w:spacing w:line="220" w:lineRule="exact"/>
      </w:pPr>
      <w:r w:rsidRPr="00B344A1">
        <w:t>Optional:</w:t>
      </w:r>
    </w:p>
    <w:p w14:paraId="5E02B62A" w14:textId="56A028DB" w:rsidR="00116032" w:rsidRDefault="00116032" w:rsidP="00116032">
      <w:pPr>
        <w:pStyle w:val="Indented1"/>
        <w:spacing w:after="68" w:line="220" w:lineRule="exact"/>
      </w:pPr>
      <w:r>
        <w:t>➤</w:t>
      </w:r>
      <w:r>
        <w:tab/>
        <w:t>Edelstahl Werkstoff-Nr. 1.4404 (AISI 316 L)</w:t>
      </w:r>
    </w:p>
    <w:p w14:paraId="57AED76C" w14:textId="5D88499A" w:rsidR="005D2192" w:rsidRDefault="00116032" w:rsidP="005D2192">
      <w:pPr>
        <w:pStyle w:val="Indented1"/>
        <w:spacing w:after="68" w:line="220" w:lineRule="exact"/>
      </w:pPr>
      <w:r>
        <w:t>➤</w:t>
      </w:r>
      <w:r>
        <w:tab/>
        <w:t>Schalungsrahmen mit Sondereinbauhöhe</w:t>
      </w:r>
    </w:p>
    <w:p w14:paraId="5E02B62D" w14:textId="7CA590DA" w:rsidR="00116032" w:rsidRDefault="00116032" w:rsidP="00116032">
      <w:pPr>
        <w:pStyle w:val="Indented1"/>
      </w:pPr>
      <w:r>
        <w:t>➤</w:t>
      </w:r>
      <w:r>
        <w:tab/>
        <w:t xml:space="preserve">Absturzsicherung durch </w:t>
      </w:r>
      <w:r w:rsidR="001C5C9D">
        <w:t>Absturzgitter</w:t>
      </w:r>
    </w:p>
    <w:p w14:paraId="547CB5F6" w14:textId="53F8A866" w:rsidR="005D2192" w:rsidRDefault="005D2192" w:rsidP="00116032">
      <w:pPr>
        <w:pStyle w:val="Indented1"/>
      </w:pPr>
      <w:r>
        <w:t>➤</w:t>
      </w:r>
      <w:r>
        <w:tab/>
      </w:r>
      <w:r w:rsidRPr="00742D4D">
        <w:t>Für fließenden Verkehr (</w:t>
      </w:r>
      <w:r w:rsidR="00937128" w:rsidRPr="00742D4D">
        <w:t>nur Klasse D400)</w:t>
      </w:r>
    </w:p>
    <w:p w14:paraId="5E02B62E" w14:textId="41093BD7" w:rsidR="00116032" w:rsidRDefault="00116032" w:rsidP="00116032">
      <w:pPr>
        <w:pStyle w:val="Indented1"/>
        <w:spacing w:after="68" w:line="220" w:lineRule="exact"/>
      </w:pPr>
    </w:p>
    <w:p w14:paraId="5E02B630" w14:textId="2AC0A0A8" w:rsidR="009E619E" w:rsidRDefault="009E619E" w:rsidP="00DB10E6">
      <w:pPr>
        <w:pStyle w:val="Indented1"/>
        <w:spacing w:after="68" w:line="220" w:lineRule="exact"/>
      </w:pPr>
    </w:p>
    <w:sectPr w:rsidR="009E619E">
      <w:footnotePr>
        <w:pos w:val="sectEnd"/>
        <w:numStart w:val="0"/>
      </w:footnotePr>
      <w:endnotePr>
        <w:numFmt w:val="decimal"/>
        <w:numStart w:val="0"/>
      </w:endnotePr>
      <w:pgSz w:w="1176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E11CBC" w14:textId="77777777" w:rsidR="005350E5" w:rsidRDefault="005350E5" w:rsidP="005350E5">
      <w:pPr>
        <w:spacing w:after="0" w:line="240" w:lineRule="auto"/>
      </w:pPr>
      <w:r>
        <w:separator/>
      </w:r>
    </w:p>
  </w:endnote>
  <w:endnote w:type="continuationSeparator" w:id="0">
    <w:p w14:paraId="435F5EB0" w14:textId="77777777" w:rsidR="005350E5" w:rsidRDefault="005350E5" w:rsidP="00535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uberTec">
    <w:altName w:val="Times New Roman"/>
    <w:charset w:val="00"/>
    <w:family w:val="swiss"/>
    <w:pitch w:val="variable"/>
    <w:sig w:usb0="00000000" w:usb1="D200F5FF" w:usb2="0A042028" w:usb3="00000000" w:csb0="8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0A91DB" w14:textId="77777777" w:rsidR="005350E5" w:rsidRDefault="005350E5" w:rsidP="005350E5">
      <w:pPr>
        <w:spacing w:after="0" w:line="240" w:lineRule="auto"/>
      </w:pPr>
      <w:r>
        <w:separator/>
      </w:r>
    </w:p>
  </w:footnote>
  <w:footnote w:type="continuationSeparator" w:id="0">
    <w:p w14:paraId="7BD4837D" w14:textId="77777777" w:rsidR="005350E5" w:rsidRDefault="005350E5" w:rsidP="005350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772280"/>
    <w:multiLevelType w:val="hybridMultilevel"/>
    <w:tmpl w:val="7FD0C7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0886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pos w:val="sectEnd"/>
    <w:numStart w:val="0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032"/>
    <w:rsid w:val="00101163"/>
    <w:rsid w:val="00116032"/>
    <w:rsid w:val="00163945"/>
    <w:rsid w:val="00184578"/>
    <w:rsid w:val="00193827"/>
    <w:rsid w:val="001C5C9D"/>
    <w:rsid w:val="001C70DC"/>
    <w:rsid w:val="003A39AF"/>
    <w:rsid w:val="003A3A59"/>
    <w:rsid w:val="003B28B5"/>
    <w:rsid w:val="0040383E"/>
    <w:rsid w:val="005350E5"/>
    <w:rsid w:val="00564668"/>
    <w:rsid w:val="00571121"/>
    <w:rsid w:val="005D2192"/>
    <w:rsid w:val="006F6365"/>
    <w:rsid w:val="00703599"/>
    <w:rsid w:val="00742D4D"/>
    <w:rsid w:val="007A303B"/>
    <w:rsid w:val="007D33E3"/>
    <w:rsid w:val="00824AA4"/>
    <w:rsid w:val="00937128"/>
    <w:rsid w:val="0099231F"/>
    <w:rsid w:val="009E619E"/>
    <w:rsid w:val="00A16320"/>
    <w:rsid w:val="00AA25F2"/>
    <w:rsid w:val="00B344A1"/>
    <w:rsid w:val="00BD6C5D"/>
    <w:rsid w:val="00CA24FE"/>
    <w:rsid w:val="00CC76CC"/>
    <w:rsid w:val="00D92CA8"/>
    <w:rsid w:val="00DB10E6"/>
    <w:rsid w:val="00FD02DA"/>
    <w:rsid w:val="00FE5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02B619"/>
  <w15:chartTrackingRefBased/>
  <w15:docId w15:val="{86BF80D9-781D-46A0-A9CA-974F51C34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16032"/>
    <w:pPr>
      <w:spacing w:after="85" w:line="240" w:lineRule="exact"/>
    </w:pPr>
    <w:rPr>
      <w:rFonts w:ascii="HuberTec" w:eastAsia="HuberTec" w:hAnsi="HuberTec" w:cs="Times New Roman"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rsid w:val="00116032"/>
    <w:pPr>
      <w:spacing w:after="212" w:line="400" w:lineRule="exact"/>
      <w:ind w:left="623" w:hanging="624"/>
    </w:pPr>
    <w:rPr>
      <w:rFonts w:ascii="HuberTec" w:eastAsia="HuberTec" w:hAnsi="HuberTec" w:cs="Times New Roman"/>
      <w:sz w:val="32"/>
      <w:szCs w:val="20"/>
      <w:lang w:eastAsia="de-DE"/>
    </w:rPr>
  </w:style>
  <w:style w:type="character" w:customStyle="1" w:styleId="Standard1">
    <w:name w:val="Standard1"/>
    <w:rsid w:val="00116032"/>
    <w:rPr>
      <w:rFonts w:ascii="HuberTec" w:eastAsia="HuberTec" w:hAnsi="HuberTec"/>
      <w:noProof w:val="0"/>
      <w:sz w:val="18"/>
      <w:lang w:val="de-DE"/>
    </w:rPr>
  </w:style>
  <w:style w:type="paragraph" w:customStyle="1" w:styleId="SubHeading">
    <w:name w:val="SubHeading"/>
    <w:rsid w:val="00116032"/>
    <w:pPr>
      <w:spacing w:before="141" w:after="56" w:line="240" w:lineRule="exact"/>
    </w:pPr>
    <w:rPr>
      <w:rFonts w:ascii="HuberTec" w:eastAsia="HuberTec" w:hAnsi="HuberTec" w:cs="Times New Roman"/>
      <w:b/>
      <w:sz w:val="18"/>
      <w:szCs w:val="20"/>
      <w:lang w:eastAsia="de-DE"/>
    </w:rPr>
  </w:style>
  <w:style w:type="paragraph" w:customStyle="1" w:styleId="Indented1">
    <w:name w:val="Indented1"/>
    <w:rsid w:val="00116032"/>
    <w:pPr>
      <w:spacing w:after="85" w:line="240" w:lineRule="exact"/>
      <w:ind w:left="283" w:hanging="284"/>
    </w:pPr>
    <w:rPr>
      <w:rFonts w:ascii="HuberTec" w:eastAsia="HuberTec" w:hAnsi="HuberTec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C5C9D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C5C9D"/>
    <w:rPr>
      <w:rFonts w:ascii="Segoe UI" w:eastAsia="HuberTec" w:hAnsi="Segoe UI" w:cs="Segoe UI"/>
      <w:sz w:val="18"/>
      <w:szCs w:val="1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5350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350E5"/>
    <w:rPr>
      <w:rFonts w:ascii="HuberTec" w:eastAsia="HuberTec" w:hAnsi="HuberTec" w:cs="Times New Roman"/>
      <w:sz w:val="18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350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350E5"/>
    <w:rPr>
      <w:rFonts w:ascii="HuberTec" w:eastAsia="HuberTec" w:hAnsi="HuberTec" w:cs="Times New Roman"/>
      <w:sz w:val="18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8be8af21222dab26caa0f43064256c5d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0a623b9bd38febd1796fce6f5d9de0d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SD7</TermName>
          <TermId xmlns="http://schemas.microsoft.com/office/infopath/2007/PartnerControls">08fc5ed2-b01d-445a-924f-0e660477fb35</TermId>
        </TermInfo>
      </Terms>
    </o5db19782ec349868d03457d92fba3ae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  <DocStatus xmlns="fd49ef69-0777-4e6d-8899-3bde96da5aa1">active</DocStatus>
    <DocNote xmlns="fd49ef69-0777-4e6d-8899-3bde96da5aa1" xsi:nil="true"/>
    <MarkerDownload xmlns="fd49ef69-0777-4e6d-8899-3bde96da5aa1">true</MarkerDownload>
    <TaxCatchAll xmlns="fd49ef69-0777-4e6d-8899-3bde96da5aa1">
      <Value>13</Value>
      <Value>3</Value>
      <Value>77</Value>
    </TaxCatchAll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ateChecked xmlns="fd49ef69-0777-4e6d-8899-3bde96da5aa1">2020-06-17T22:00:00+00:00</dateChecked>
  </documentManagement>
</p:properties>
</file>

<file path=customXml/item4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Props1.xml><?xml version="1.0" encoding="utf-8"?>
<ds:datastoreItem xmlns:ds="http://schemas.openxmlformats.org/officeDocument/2006/customXml" ds:itemID="{CABE1D59-E336-4B6E-BAA8-E4AECBEF4281}"/>
</file>

<file path=customXml/itemProps2.xml><?xml version="1.0" encoding="utf-8"?>
<ds:datastoreItem xmlns:ds="http://schemas.openxmlformats.org/officeDocument/2006/customXml" ds:itemID="{2AB77771-3650-423D-B18B-01F991558E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00B01C-7D71-4E3B-8D9F-2C4B34FD026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fd49ef69-0777-4e6d-8899-3bde96da5aa1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41582B2-3BD2-431E-9D5E-69FD7083A015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SD7 füllbare Wanne, fließender Verkehr</vt:lpstr>
    </vt:vector>
  </TitlesOfParts>
  <Company>HUBER SE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SD7 BITU-F</dc:title>
  <dc:subject/>
  <dc:creator>Ketzler, Elisabeth</dc:creator>
  <cp:keywords/>
  <dc:description/>
  <cp:lastModifiedBy>Nutz, Christian</cp:lastModifiedBy>
  <cp:revision>17</cp:revision>
  <cp:lastPrinted>2018-07-17T09:57:00Z</cp:lastPrinted>
  <dcterms:created xsi:type="dcterms:W3CDTF">2025-04-01T04:54:00Z</dcterms:created>
  <dcterms:modified xsi:type="dcterms:W3CDTF">2025-04-01T07:35:00Z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0x0101005CA6114EC726784B9AD7939DE1381E5A009B7864FBA061C440A2EFD5CA497626F2</vt:lpwstr>
  </property>
  <property fmtid="{D5CDD505-2E9C-101B-9397-08002B2CF9AE}" pid="3" name="ProdShortName">
    <vt:lpwstr>13;#SD7|08fc5ed2-b01d-445a-924f-0e660477fb35</vt:lpwstr>
  </property>
  <property fmtid="{D5CDD505-2E9C-101B-9397-08002B2CF9AE}" pid="4" name="DocLanguage">
    <vt:lpwstr>3;#german|7e316fb8-4934-4265-88d5-46d6b03da085</vt:lpwstr>
  </property>
  <property fmtid="{D5CDD505-2E9C-101B-9397-08002B2CF9AE}" pid="5" name="ProdDocType">
    <vt:lpwstr>77;#Ausschreibung|ac6e1cc7-d10e-4934-bb34-11eb36058fda</vt:lpwstr>
  </property>
</Properties>
</file>