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1A260" w14:textId="7D6EB740" w:rsidR="004E4737" w:rsidRDefault="005440EC" w:rsidP="00BF45CE">
      <w:pPr>
        <w:pStyle w:val="berschrift1"/>
        <w:spacing w:before="0" w:after="120"/>
        <w:ind w:left="0" w:right="1159"/>
      </w:pPr>
      <w:r>
        <w:rPr>
          <w:color w:val="231F20"/>
        </w:rPr>
        <w:t>Rectangular</w:t>
      </w:r>
      <w:r>
        <w:rPr>
          <w:color w:val="231F20"/>
          <w:spacing w:val="-20"/>
        </w:rPr>
        <w:t xml:space="preserve"> </w:t>
      </w:r>
      <w:r>
        <w:rPr>
          <w:color w:val="231F20"/>
        </w:rPr>
        <w:t>Pressure-Tight</w:t>
      </w:r>
      <w:r>
        <w:rPr>
          <w:color w:val="231F20"/>
          <w:spacing w:val="-22"/>
        </w:rPr>
        <w:t xml:space="preserve"> </w:t>
      </w:r>
      <w:r>
        <w:rPr>
          <w:color w:val="231F20"/>
        </w:rPr>
        <w:t>Door</w:t>
      </w:r>
      <w:r>
        <w:rPr>
          <w:color w:val="231F20"/>
          <w:spacing w:val="-22"/>
        </w:rPr>
        <w:t xml:space="preserve"> </w:t>
      </w:r>
      <w:r>
        <w:rPr>
          <w:color w:val="231F20"/>
        </w:rPr>
        <w:t>TT7.30</w:t>
      </w:r>
      <w:r>
        <w:rPr>
          <w:color w:val="231F20"/>
          <w:spacing w:val="-22"/>
        </w:rPr>
        <w:t xml:space="preserve"> </w:t>
      </w:r>
      <w:r>
        <w:rPr>
          <w:color w:val="231F20"/>
        </w:rPr>
        <w:t>with</w:t>
      </w:r>
      <w:r>
        <w:rPr>
          <w:color w:val="231F20"/>
          <w:spacing w:val="-22"/>
        </w:rPr>
        <w:t xml:space="preserve"> </w:t>
      </w:r>
      <w:r>
        <w:rPr>
          <w:color w:val="231F20"/>
        </w:rPr>
        <w:t>Central</w:t>
      </w:r>
      <w:r>
        <w:rPr>
          <w:color w:val="231F20"/>
          <w:spacing w:val="-21"/>
        </w:rPr>
        <w:t xml:space="preserve"> </w:t>
      </w:r>
      <w:r>
        <w:rPr>
          <w:color w:val="231F20"/>
          <w:spacing w:val="-4"/>
        </w:rPr>
        <w:t>Lock</w:t>
      </w:r>
    </w:p>
    <w:p w14:paraId="5AA2096A" w14:textId="77777777" w:rsidR="00BF45CE" w:rsidRPr="00BF45CE" w:rsidRDefault="005440EC" w:rsidP="00BF45CE">
      <w:pPr>
        <w:spacing w:after="120" w:line="276" w:lineRule="auto"/>
        <w:ind w:right="1868"/>
        <w:rPr>
          <w:b/>
          <w:color w:val="231F20"/>
          <w:sz w:val="18"/>
          <w:szCs w:val="18"/>
        </w:rPr>
      </w:pPr>
      <w:r w:rsidRPr="00BF45CE">
        <w:rPr>
          <w:b/>
          <w:color w:val="231F20"/>
          <w:sz w:val="18"/>
          <w:szCs w:val="18"/>
        </w:rPr>
        <w:t>Access</w:t>
      </w:r>
      <w:r w:rsidRPr="00BF45CE">
        <w:rPr>
          <w:b/>
          <w:color w:val="231F20"/>
          <w:spacing w:val="-10"/>
          <w:sz w:val="18"/>
          <w:szCs w:val="18"/>
        </w:rPr>
        <w:t xml:space="preserve"> </w:t>
      </w:r>
      <w:r w:rsidRPr="00BF45CE">
        <w:rPr>
          <w:b/>
          <w:color w:val="231F20"/>
          <w:sz w:val="18"/>
          <w:szCs w:val="18"/>
        </w:rPr>
        <w:t>door</w:t>
      </w:r>
      <w:r w:rsidRPr="00BF45CE">
        <w:rPr>
          <w:b/>
          <w:color w:val="231F20"/>
          <w:spacing w:val="-10"/>
          <w:sz w:val="18"/>
          <w:szCs w:val="18"/>
        </w:rPr>
        <w:t xml:space="preserve"> </w:t>
      </w:r>
      <w:r w:rsidRPr="00BF45CE">
        <w:rPr>
          <w:b/>
          <w:color w:val="231F20"/>
          <w:sz w:val="18"/>
          <w:szCs w:val="18"/>
        </w:rPr>
        <w:t>for</w:t>
      </w:r>
      <w:r w:rsidRPr="00BF45CE">
        <w:rPr>
          <w:b/>
          <w:color w:val="231F20"/>
          <w:spacing w:val="-10"/>
          <w:sz w:val="18"/>
          <w:szCs w:val="18"/>
        </w:rPr>
        <w:t xml:space="preserve"> </w:t>
      </w:r>
      <w:r w:rsidRPr="00BF45CE">
        <w:rPr>
          <w:b/>
          <w:color w:val="231F20"/>
          <w:sz w:val="18"/>
          <w:szCs w:val="18"/>
        </w:rPr>
        <w:t>containers,</w:t>
      </w:r>
      <w:r w:rsidRPr="00BF45CE">
        <w:rPr>
          <w:b/>
          <w:color w:val="231F20"/>
          <w:spacing w:val="-10"/>
          <w:sz w:val="18"/>
          <w:szCs w:val="18"/>
        </w:rPr>
        <w:t xml:space="preserve"> </w:t>
      </w:r>
      <w:r w:rsidRPr="00BF45CE">
        <w:rPr>
          <w:b/>
          <w:color w:val="231F20"/>
          <w:sz w:val="18"/>
          <w:szCs w:val="18"/>
        </w:rPr>
        <w:t>especially</w:t>
      </w:r>
      <w:r w:rsidRPr="00BF45CE">
        <w:rPr>
          <w:b/>
          <w:color w:val="231F20"/>
          <w:spacing w:val="-10"/>
          <w:sz w:val="18"/>
          <w:szCs w:val="18"/>
        </w:rPr>
        <w:t xml:space="preserve"> </w:t>
      </w:r>
      <w:r w:rsidRPr="00BF45CE">
        <w:rPr>
          <w:b/>
          <w:color w:val="231F20"/>
          <w:sz w:val="18"/>
          <w:szCs w:val="18"/>
        </w:rPr>
        <w:t>in</w:t>
      </w:r>
      <w:r w:rsidRPr="00BF45CE">
        <w:rPr>
          <w:b/>
          <w:color w:val="231F20"/>
          <w:spacing w:val="-10"/>
          <w:sz w:val="18"/>
          <w:szCs w:val="18"/>
        </w:rPr>
        <w:t xml:space="preserve"> </w:t>
      </w:r>
      <w:r w:rsidRPr="00BF45CE">
        <w:rPr>
          <w:b/>
          <w:color w:val="231F20"/>
          <w:sz w:val="18"/>
          <w:szCs w:val="18"/>
        </w:rPr>
        <w:t>the</w:t>
      </w:r>
      <w:r w:rsidRPr="00BF45CE">
        <w:rPr>
          <w:b/>
          <w:color w:val="231F20"/>
          <w:spacing w:val="-10"/>
          <w:sz w:val="18"/>
          <w:szCs w:val="18"/>
        </w:rPr>
        <w:t xml:space="preserve"> </w:t>
      </w:r>
      <w:r w:rsidRPr="00BF45CE">
        <w:rPr>
          <w:b/>
          <w:color w:val="231F20"/>
          <w:sz w:val="18"/>
          <w:szCs w:val="18"/>
        </w:rPr>
        <w:t>field</w:t>
      </w:r>
      <w:r w:rsidRPr="00BF45CE">
        <w:rPr>
          <w:b/>
          <w:color w:val="231F20"/>
          <w:spacing w:val="-10"/>
          <w:sz w:val="18"/>
          <w:szCs w:val="18"/>
        </w:rPr>
        <w:t xml:space="preserve"> </w:t>
      </w:r>
      <w:r w:rsidRPr="00BF45CE">
        <w:rPr>
          <w:b/>
          <w:color w:val="231F20"/>
          <w:sz w:val="18"/>
          <w:szCs w:val="18"/>
        </w:rPr>
        <w:t>of</w:t>
      </w:r>
      <w:r w:rsidRPr="00BF45CE">
        <w:rPr>
          <w:b/>
          <w:color w:val="231F20"/>
          <w:spacing w:val="-10"/>
          <w:sz w:val="18"/>
          <w:szCs w:val="18"/>
        </w:rPr>
        <w:t xml:space="preserve"> </w:t>
      </w:r>
      <w:r w:rsidRPr="00BF45CE">
        <w:rPr>
          <w:b/>
          <w:color w:val="231F20"/>
          <w:sz w:val="18"/>
          <w:szCs w:val="18"/>
        </w:rPr>
        <w:t>potable</w:t>
      </w:r>
      <w:r w:rsidRPr="00BF45CE">
        <w:rPr>
          <w:b/>
          <w:color w:val="231F20"/>
          <w:spacing w:val="-10"/>
          <w:sz w:val="18"/>
          <w:szCs w:val="18"/>
        </w:rPr>
        <w:t xml:space="preserve"> </w:t>
      </w:r>
      <w:r w:rsidRPr="00BF45CE">
        <w:rPr>
          <w:b/>
          <w:color w:val="231F20"/>
          <w:sz w:val="18"/>
          <w:szCs w:val="18"/>
        </w:rPr>
        <w:t>water</w:t>
      </w:r>
      <w:r w:rsidRPr="00BF45CE">
        <w:rPr>
          <w:b/>
          <w:color w:val="231F20"/>
          <w:spacing w:val="-10"/>
          <w:sz w:val="18"/>
          <w:szCs w:val="18"/>
        </w:rPr>
        <w:t xml:space="preserve"> </w:t>
      </w:r>
      <w:r w:rsidRPr="00BF45CE">
        <w:rPr>
          <w:b/>
          <w:color w:val="231F20"/>
          <w:sz w:val="18"/>
          <w:szCs w:val="18"/>
        </w:rPr>
        <w:t>supply,</w:t>
      </w:r>
      <w:r w:rsidRPr="00BF45CE">
        <w:rPr>
          <w:b/>
          <w:color w:val="231F20"/>
          <w:spacing w:val="-10"/>
          <w:sz w:val="18"/>
          <w:szCs w:val="18"/>
        </w:rPr>
        <w:t xml:space="preserve"> </w:t>
      </w:r>
      <w:r w:rsidRPr="00BF45CE">
        <w:rPr>
          <w:b/>
          <w:color w:val="231F20"/>
          <w:sz w:val="18"/>
          <w:szCs w:val="18"/>
        </w:rPr>
        <w:t>pressure-tight up to a water gauge of 30 m.</w:t>
      </w:r>
    </w:p>
    <w:p w14:paraId="3364455F" w14:textId="77777777" w:rsidR="00BF45CE" w:rsidRDefault="00BF45CE" w:rsidP="00BF45CE">
      <w:pPr>
        <w:spacing w:after="120" w:line="276" w:lineRule="auto"/>
        <w:ind w:right="1159"/>
        <w:rPr>
          <w:b/>
          <w:color w:val="231F20"/>
          <w:sz w:val="18"/>
          <w:szCs w:val="18"/>
        </w:rPr>
      </w:pPr>
    </w:p>
    <w:p w14:paraId="615034D2" w14:textId="669D1610" w:rsidR="004E4737" w:rsidRPr="00BF45CE" w:rsidRDefault="005440EC" w:rsidP="00BF45CE">
      <w:pPr>
        <w:spacing w:after="120" w:line="276" w:lineRule="auto"/>
        <w:ind w:right="1159"/>
        <w:rPr>
          <w:b/>
          <w:sz w:val="18"/>
          <w:szCs w:val="18"/>
        </w:rPr>
      </w:pPr>
      <w:r w:rsidRPr="00BF45CE">
        <w:rPr>
          <w:b/>
          <w:color w:val="231F20"/>
          <w:sz w:val="18"/>
          <w:szCs w:val="18"/>
        </w:rPr>
        <w:t xml:space="preserve">Pressure-tight door, </w:t>
      </w:r>
      <w:r w:rsidRPr="00BF45CE">
        <w:rPr>
          <w:color w:val="231F20"/>
          <w:sz w:val="18"/>
          <w:szCs w:val="18"/>
        </w:rPr>
        <w:t>pressure-tight up to a water gauge</w:t>
      </w:r>
      <w:r w:rsidRPr="00BF45CE">
        <w:rPr>
          <w:color w:val="231F20"/>
          <w:spacing w:val="-11"/>
          <w:sz w:val="18"/>
          <w:szCs w:val="18"/>
        </w:rPr>
        <w:t xml:space="preserve"> </w:t>
      </w:r>
      <w:r w:rsidRPr="00BF45CE">
        <w:rPr>
          <w:color w:val="231F20"/>
          <w:sz w:val="18"/>
          <w:szCs w:val="18"/>
        </w:rPr>
        <w:t>of</w:t>
      </w:r>
      <w:r w:rsidRPr="00BF45CE">
        <w:rPr>
          <w:color w:val="231F20"/>
          <w:spacing w:val="-11"/>
          <w:sz w:val="18"/>
          <w:szCs w:val="18"/>
        </w:rPr>
        <w:t xml:space="preserve"> </w:t>
      </w:r>
      <w:r w:rsidRPr="00BF45CE">
        <w:rPr>
          <w:color w:val="231F20"/>
          <w:sz w:val="18"/>
          <w:szCs w:val="18"/>
        </w:rPr>
        <w:t>30</w:t>
      </w:r>
      <w:r w:rsidRPr="00BF45CE">
        <w:rPr>
          <w:color w:val="231F20"/>
          <w:spacing w:val="-11"/>
          <w:sz w:val="18"/>
          <w:szCs w:val="18"/>
        </w:rPr>
        <w:t xml:space="preserve"> </w:t>
      </w:r>
      <w:r w:rsidRPr="00BF45CE">
        <w:rPr>
          <w:color w:val="231F20"/>
          <w:sz w:val="18"/>
          <w:szCs w:val="18"/>
        </w:rPr>
        <w:t>m,</w:t>
      </w:r>
      <w:r w:rsidRPr="00BF45CE">
        <w:rPr>
          <w:color w:val="231F20"/>
          <w:spacing w:val="-11"/>
          <w:sz w:val="18"/>
          <w:szCs w:val="18"/>
        </w:rPr>
        <w:t xml:space="preserve"> </w:t>
      </w:r>
      <w:r w:rsidRPr="00BF45CE">
        <w:rPr>
          <w:color w:val="231F20"/>
          <w:sz w:val="18"/>
          <w:szCs w:val="18"/>
        </w:rPr>
        <w:t>opening</w:t>
      </w:r>
      <w:r w:rsidRPr="00BF45CE">
        <w:rPr>
          <w:color w:val="231F20"/>
          <w:spacing w:val="-11"/>
          <w:sz w:val="18"/>
          <w:szCs w:val="18"/>
        </w:rPr>
        <w:t xml:space="preserve"> </w:t>
      </w:r>
      <w:r w:rsidRPr="00BF45CE">
        <w:rPr>
          <w:color w:val="231F20"/>
          <w:sz w:val="18"/>
          <w:szCs w:val="18"/>
        </w:rPr>
        <w:t>to</w:t>
      </w:r>
      <w:r w:rsidRPr="00BF45CE">
        <w:rPr>
          <w:color w:val="231F20"/>
          <w:spacing w:val="-10"/>
          <w:sz w:val="18"/>
          <w:szCs w:val="18"/>
        </w:rPr>
        <w:t xml:space="preserve"> </w:t>
      </w:r>
      <w:r w:rsidRPr="00BF45CE">
        <w:rPr>
          <w:color w:val="231F20"/>
          <w:sz w:val="18"/>
          <w:szCs w:val="18"/>
        </w:rPr>
        <w:t>the</w:t>
      </w:r>
      <w:r w:rsidRPr="00BF45CE">
        <w:rPr>
          <w:color w:val="231F20"/>
          <w:spacing w:val="-11"/>
          <w:sz w:val="18"/>
          <w:szCs w:val="18"/>
        </w:rPr>
        <w:t xml:space="preserve"> </w:t>
      </w:r>
      <w:r w:rsidRPr="00BF45CE">
        <w:rPr>
          <w:color w:val="231F20"/>
          <w:sz w:val="18"/>
          <w:szCs w:val="18"/>
        </w:rPr>
        <w:t>pressure</w:t>
      </w:r>
      <w:r w:rsidRPr="00BF45CE">
        <w:rPr>
          <w:color w:val="231F20"/>
          <w:spacing w:val="-11"/>
          <w:sz w:val="18"/>
          <w:szCs w:val="18"/>
        </w:rPr>
        <w:t xml:space="preserve"> </w:t>
      </w:r>
      <w:r w:rsidRPr="00BF45CE">
        <w:rPr>
          <w:color w:val="231F20"/>
          <w:sz w:val="18"/>
          <w:szCs w:val="18"/>
        </w:rPr>
        <w:t>side,</w:t>
      </w:r>
      <w:r w:rsidRPr="00BF45CE">
        <w:rPr>
          <w:color w:val="231F20"/>
          <w:spacing w:val="-11"/>
          <w:sz w:val="18"/>
          <w:szCs w:val="18"/>
        </w:rPr>
        <w:t xml:space="preserve"> </w:t>
      </w:r>
      <w:r w:rsidRPr="00BF45CE">
        <w:rPr>
          <w:color w:val="231F20"/>
          <w:sz w:val="18"/>
          <w:szCs w:val="18"/>
        </w:rPr>
        <w:t>ready</w:t>
      </w:r>
      <w:r w:rsidRPr="00BF45CE">
        <w:rPr>
          <w:color w:val="231F20"/>
          <w:spacing w:val="-10"/>
          <w:sz w:val="18"/>
          <w:szCs w:val="18"/>
        </w:rPr>
        <w:t xml:space="preserve"> </w:t>
      </w:r>
      <w:r w:rsidRPr="00BF45CE">
        <w:rPr>
          <w:color w:val="231F20"/>
          <w:sz w:val="18"/>
          <w:szCs w:val="18"/>
        </w:rPr>
        <w:t>for installation, to be lined on both sides (wall thickness</w:t>
      </w:r>
      <w:r w:rsidR="00BF45CE">
        <w:rPr>
          <w:color w:val="231F20"/>
          <w:sz w:val="18"/>
          <w:szCs w:val="18"/>
        </w:rPr>
        <w:t xml:space="preserve"> </w:t>
      </w:r>
      <w:r w:rsidRPr="00BF45CE">
        <w:rPr>
          <w:color w:val="231F20"/>
          <w:sz w:val="18"/>
          <w:szCs w:val="18"/>
        </w:rPr>
        <w:t>≥</w:t>
      </w:r>
      <w:r w:rsidRPr="00BF45CE">
        <w:rPr>
          <w:color w:val="231F20"/>
          <w:spacing w:val="-12"/>
          <w:sz w:val="18"/>
          <w:szCs w:val="18"/>
        </w:rPr>
        <w:t xml:space="preserve"> </w:t>
      </w:r>
      <w:r w:rsidRPr="00BF45CE">
        <w:rPr>
          <w:color w:val="231F20"/>
          <w:sz w:val="18"/>
          <w:szCs w:val="18"/>
        </w:rPr>
        <w:t>300</w:t>
      </w:r>
      <w:r w:rsidRPr="00BF45CE">
        <w:rPr>
          <w:color w:val="231F20"/>
          <w:spacing w:val="-12"/>
          <w:sz w:val="18"/>
          <w:szCs w:val="18"/>
        </w:rPr>
        <w:t xml:space="preserve"> </w:t>
      </w:r>
      <w:r w:rsidRPr="00BF45CE">
        <w:rPr>
          <w:color w:val="231F20"/>
          <w:sz w:val="18"/>
          <w:szCs w:val="18"/>
        </w:rPr>
        <w:t>mm),</w:t>
      </w:r>
      <w:r w:rsidRPr="00BF45CE">
        <w:rPr>
          <w:color w:val="231F20"/>
          <w:spacing w:val="-12"/>
          <w:sz w:val="18"/>
          <w:szCs w:val="18"/>
        </w:rPr>
        <w:t xml:space="preserve"> </w:t>
      </w:r>
      <w:r w:rsidRPr="00BF45CE">
        <w:rPr>
          <w:color w:val="231F20"/>
          <w:sz w:val="18"/>
          <w:szCs w:val="18"/>
        </w:rPr>
        <w:t>rectangular,</w:t>
      </w:r>
      <w:r w:rsidRPr="00BF45CE">
        <w:rPr>
          <w:color w:val="231F20"/>
          <w:spacing w:val="-12"/>
          <w:sz w:val="18"/>
          <w:szCs w:val="18"/>
        </w:rPr>
        <w:t xml:space="preserve"> </w:t>
      </w:r>
      <w:r w:rsidRPr="00BF45CE">
        <w:rPr>
          <w:color w:val="231F20"/>
          <w:sz w:val="18"/>
          <w:szCs w:val="18"/>
        </w:rPr>
        <w:t>completely</w:t>
      </w:r>
      <w:r w:rsidRPr="00BF45CE">
        <w:rPr>
          <w:color w:val="231F20"/>
          <w:spacing w:val="-12"/>
          <w:sz w:val="18"/>
          <w:szCs w:val="18"/>
        </w:rPr>
        <w:t xml:space="preserve"> </w:t>
      </w:r>
      <w:r w:rsidRPr="00BF45CE">
        <w:rPr>
          <w:color w:val="231F20"/>
          <w:sz w:val="18"/>
          <w:szCs w:val="18"/>
        </w:rPr>
        <w:t>made</w:t>
      </w:r>
      <w:r w:rsidRPr="00BF45CE">
        <w:rPr>
          <w:color w:val="231F20"/>
          <w:spacing w:val="-12"/>
          <w:sz w:val="18"/>
          <w:szCs w:val="18"/>
        </w:rPr>
        <w:t xml:space="preserve"> </w:t>
      </w:r>
      <w:r w:rsidRPr="00BF45CE">
        <w:rPr>
          <w:color w:val="231F20"/>
          <w:sz w:val="18"/>
          <w:szCs w:val="18"/>
        </w:rPr>
        <w:t>from</w:t>
      </w:r>
      <w:r w:rsidRPr="00BF45CE">
        <w:rPr>
          <w:color w:val="231F20"/>
          <w:spacing w:val="-12"/>
          <w:sz w:val="18"/>
          <w:szCs w:val="18"/>
        </w:rPr>
        <w:t xml:space="preserve"> </w:t>
      </w:r>
      <w:r w:rsidR="00BF45CE">
        <w:rPr>
          <w:color w:val="231F20"/>
          <w:spacing w:val="-12"/>
          <w:sz w:val="18"/>
          <w:szCs w:val="18"/>
        </w:rPr>
        <w:br/>
      </w:r>
      <w:r w:rsidRPr="00BF45CE">
        <w:rPr>
          <w:color w:val="231F20"/>
          <w:sz w:val="18"/>
          <w:szCs w:val="18"/>
        </w:rPr>
        <w:t>1.4404 (AISI 316 L) stainless steel, statically certified.</w:t>
      </w:r>
    </w:p>
    <w:p w14:paraId="2E39672B" w14:textId="47263C93" w:rsidR="00BF45CE" w:rsidRPr="00BF45CE" w:rsidRDefault="005440EC" w:rsidP="00BF45CE">
      <w:pPr>
        <w:pStyle w:val="Textkrper"/>
        <w:spacing w:after="120" w:line="276" w:lineRule="auto"/>
        <w:ind w:right="1159"/>
      </w:pPr>
      <w:r w:rsidRPr="00BF45CE">
        <w:rPr>
          <w:b/>
          <w:color w:val="231F20"/>
        </w:rPr>
        <w:t xml:space="preserve">Door, </w:t>
      </w:r>
      <w:r w:rsidRPr="00BF45CE">
        <w:rPr>
          <w:color w:val="231F20"/>
        </w:rPr>
        <w:t>curved convex design with frame reinforcements to ensure that the acting pressure forces can pass into the door frame via the circumferential frame. With circumferential special silicone seal, suitable for potable water,</w:t>
      </w:r>
      <w:r w:rsidRPr="00BF45CE">
        <w:rPr>
          <w:color w:val="231F20"/>
          <w:spacing w:val="-12"/>
        </w:rPr>
        <w:t xml:space="preserve"> </w:t>
      </w:r>
      <w:r w:rsidRPr="00BF45CE">
        <w:rPr>
          <w:color w:val="231F20"/>
        </w:rPr>
        <w:t>ozone</w:t>
      </w:r>
      <w:r w:rsidRPr="00BF45CE">
        <w:rPr>
          <w:color w:val="231F20"/>
          <w:spacing w:val="-12"/>
        </w:rPr>
        <w:t xml:space="preserve"> </w:t>
      </w:r>
      <w:r w:rsidRPr="00BF45CE">
        <w:rPr>
          <w:color w:val="231F20"/>
        </w:rPr>
        <w:t>resistant,</w:t>
      </w:r>
      <w:r w:rsidRPr="00BF45CE">
        <w:rPr>
          <w:color w:val="231F20"/>
          <w:spacing w:val="-12"/>
        </w:rPr>
        <w:t xml:space="preserve"> </w:t>
      </w:r>
      <w:r w:rsidRPr="00BF45CE">
        <w:rPr>
          <w:color w:val="231F20"/>
        </w:rPr>
        <w:t>certified</w:t>
      </w:r>
      <w:r w:rsidRPr="00BF45CE">
        <w:rPr>
          <w:color w:val="231F20"/>
          <w:spacing w:val="-12"/>
        </w:rPr>
        <w:t xml:space="preserve"> </w:t>
      </w:r>
      <w:r w:rsidRPr="00BF45CE">
        <w:rPr>
          <w:color w:val="231F20"/>
        </w:rPr>
        <w:t>to</w:t>
      </w:r>
      <w:r w:rsidRPr="00BF45CE">
        <w:rPr>
          <w:color w:val="231F20"/>
          <w:spacing w:val="-11"/>
        </w:rPr>
        <w:t xml:space="preserve"> </w:t>
      </w:r>
      <w:r w:rsidRPr="00BF45CE">
        <w:rPr>
          <w:color w:val="231F20"/>
        </w:rPr>
        <w:t>KTW</w:t>
      </w:r>
      <w:r w:rsidRPr="00BF45CE">
        <w:rPr>
          <w:color w:val="231F20"/>
          <w:spacing w:val="-12"/>
        </w:rPr>
        <w:t xml:space="preserve"> </w:t>
      </w:r>
      <w:r w:rsidRPr="00BF45CE">
        <w:rPr>
          <w:color w:val="231F20"/>
        </w:rPr>
        <w:t>and</w:t>
      </w:r>
      <w:r w:rsidRPr="00BF45CE">
        <w:rPr>
          <w:color w:val="231F20"/>
          <w:spacing w:val="-12"/>
        </w:rPr>
        <w:t xml:space="preserve"> </w:t>
      </w:r>
      <w:r w:rsidRPr="00BF45CE">
        <w:rPr>
          <w:color w:val="231F20"/>
        </w:rPr>
        <w:t>DVGW</w:t>
      </w:r>
      <w:r w:rsidRPr="00BF45CE">
        <w:rPr>
          <w:color w:val="231F20"/>
          <w:spacing w:val="-12"/>
        </w:rPr>
        <w:t xml:space="preserve"> </w:t>
      </w:r>
      <w:r w:rsidRPr="00BF45CE">
        <w:rPr>
          <w:color w:val="231F20"/>
        </w:rPr>
        <w:t>W</w:t>
      </w:r>
      <w:r w:rsidRPr="00BF45CE">
        <w:rPr>
          <w:color w:val="231F20"/>
          <w:spacing w:val="-12"/>
        </w:rPr>
        <w:t xml:space="preserve"> </w:t>
      </w:r>
      <w:r w:rsidRPr="00BF45CE">
        <w:rPr>
          <w:color w:val="231F20"/>
        </w:rPr>
        <w:t>270 standards. Locking crank handles operable both from</w:t>
      </w:r>
      <w:r w:rsidR="00BF45CE">
        <w:t xml:space="preserve"> </w:t>
      </w:r>
      <w:r w:rsidRPr="00BF45CE">
        <w:rPr>
          <w:color w:val="231F20"/>
        </w:rPr>
        <w:t>the</w:t>
      </w:r>
      <w:r w:rsidRPr="00BF45CE">
        <w:rPr>
          <w:color w:val="231F20"/>
          <w:spacing w:val="-11"/>
        </w:rPr>
        <w:t xml:space="preserve"> </w:t>
      </w:r>
      <w:r w:rsidRPr="00BF45CE">
        <w:rPr>
          <w:color w:val="231F20"/>
        </w:rPr>
        <w:t>door</w:t>
      </w:r>
      <w:r w:rsidRPr="00BF45CE">
        <w:rPr>
          <w:color w:val="231F20"/>
          <w:spacing w:val="-11"/>
        </w:rPr>
        <w:t xml:space="preserve"> </w:t>
      </w:r>
      <w:r w:rsidRPr="00BF45CE">
        <w:rPr>
          <w:color w:val="231F20"/>
        </w:rPr>
        <w:t>outside</w:t>
      </w:r>
      <w:r w:rsidRPr="00BF45CE">
        <w:rPr>
          <w:color w:val="231F20"/>
          <w:spacing w:val="-11"/>
        </w:rPr>
        <w:t xml:space="preserve"> </w:t>
      </w:r>
      <w:r w:rsidRPr="00BF45CE">
        <w:rPr>
          <w:color w:val="231F20"/>
        </w:rPr>
        <w:t>and,</w:t>
      </w:r>
      <w:r w:rsidRPr="00BF45CE">
        <w:rPr>
          <w:color w:val="231F20"/>
          <w:spacing w:val="-11"/>
        </w:rPr>
        <w:t xml:space="preserve"> </w:t>
      </w:r>
      <w:r w:rsidRPr="00BF45CE">
        <w:rPr>
          <w:color w:val="231F20"/>
        </w:rPr>
        <w:t>for</w:t>
      </w:r>
      <w:r w:rsidRPr="00BF45CE">
        <w:rPr>
          <w:color w:val="231F20"/>
          <w:spacing w:val="-11"/>
        </w:rPr>
        <w:t xml:space="preserve"> </w:t>
      </w:r>
      <w:r w:rsidRPr="00BF45CE">
        <w:rPr>
          <w:color w:val="231F20"/>
        </w:rPr>
        <w:t>safety</w:t>
      </w:r>
      <w:r w:rsidRPr="00BF45CE">
        <w:rPr>
          <w:color w:val="231F20"/>
          <w:spacing w:val="-11"/>
        </w:rPr>
        <w:t xml:space="preserve"> </w:t>
      </w:r>
      <w:r w:rsidRPr="00BF45CE">
        <w:rPr>
          <w:color w:val="231F20"/>
        </w:rPr>
        <w:t>reasons,</w:t>
      </w:r>
      <w:r w:rsidRPr="00BF45CE">
        <w:rPr>
          <w:color w:val="231F20"/>
          <w:spacing w:val="-11"/>
        </w:rPr>
        <w:t xml:space="preserve"> </w:t>
      </w:r>
      <w:r w:rsidRPr="00BF45CE">
        <w:rPr>
          <w:color w:val="231F20"/>
        </w:rPr>
        <w:t>also</w:t>
      </w:r>
      <w:r w:rsidRPr="00BF45CE">
        <w:rPr>
          <w:color w:val="231F20"/>
          <w:spacing w:val="-11"/>
        </w:rPr>
        <w:t xml:space="preserve"> </w:t>
      </w:r>
      <w:r w:rsidRPr="00BF45CE">
        <w:rPr>
          <w:color w:val="231F20"/>
        </w:rPr>
        <w:t>from</w:t>
      </w:r>
      <w:r w:rsidRPr="00BF45CE">
        <w:rPr>
          <w:color w:val="231F20"/>
          <w:spacing w:val="-11"/>
        </w:rPr>
        <w:t xml:space="preserve"> </w:t>
      </w:r>
      <w:r w:rsidRPr="00BF45CE">
        <w:rPr>
          <w:color w:val="231F20"/>
        </w:rPr>
        <w:t>the pressure side while the reservoir is empty.</w:t>
      </w:r>
    </w:p>
    <w:p w14:paraId="4CD6518D" w14:textId="77777777" w:rsidR="00BF45CE" w:rsidRPr="00BF45CE" w:rsidRDefault="00BF45CE" w:rsidP="00BF45CE">
      <w:pPr>
        <w:pStyle w:val="Textkrper"/>
        <w:spacing w:after="120" w:line="276" w:lineRule="auto"/>
        <w:ind w:right="1159"/>
      </w:pPr>
      <w:r w:rsidRPr="00BF45CE">
        <w:rPr>
          <w:b/>
          <w:color w:val="231F20"/>
        </w:rPr>
        <w:t xml:space="preserve">Frame, </w:t>
      </w:r>
      <w:r w:rsidRPr="00BF45CE">
        <w:rPr>
          <w:color w:val="231F20"/>
        </w:rPr>
        <w:t xml:space="preserve">circumferential with one </w:t>
      </w:r>
      <w:proofErr w:type="spellStart"/>
      <w:r w:rsidRPr="00BF45CE">
        <w:rPr>
          <w:color w:val="231F20"/>
        </w:rPr>
        <w:t>centre</w:t>
      </w:r>
      <w:proofErr w:type="spellEnd"/>
      <w:r w:rsidRPr="00BF45CE">
        <w:rPr>
          <w:color w:val="231F20"/>
        </w:rPr>
        <w:t xml:space="preserve"> and two side gaskets,</w:t>
      </w:r>
      <w:r w:rsidRPr="00BF45CE">
        <w:rPr>
          <w:color w:val="231F20"/>
          <w:spacing w:val="-13"/>
        </w:rPr>
        <w:t xml:space="preserve"> </w:t>
      </w:r>
      <w:r w:rsidRPr="00BF45CE">
        <w:rPr>
          <w:color w:val="231F20"/>
        </w:rPr>
        <w:t>provided</w:t>
      </w:r>
      <w:r w:rsidRPr="00BF45CE">
        <w:rPr>
          <w:color w:val="231F20"/>
          <w:spacing w:val="-13"/>
        </w:rPr>
        <w:t xml:space="preserve"> </w:t>
      </w:r>
      <w:r w:rsidRPr="00BF45CE">
        <w:rPr>
          <w:color w:val="231F20"/>
        </w:rPr>
        <w:t>for</w:t>
      </w:r>
      <w:r w:rsidRPr="00BF45CE">
        <w:rPr>
          <w:color w:val="231F20"/>
          <w:spacing w:val="-13"/>
        </w:rPr>
        <w:t xml:space="preserve"> </w:t>
      </w:r>
      <w:r w:rsidRPr="00BF45CE">
        <w:rPr>
          <w:color w:val="231F20"/>
        </w:rPr>
        <w:t>embedding</w:t>
      </w:r>
      <w:r w:rsidRPr="00BF45CE">
        <w:rPr>
          <w:color w:val="231F20"/>
          <w:spacing w:val="-13"/>
        </w:rPr>
        <w:t xml:space="preserve"> </w:t>
      </w:r>
      <w:r w:rsidRPr="00BF45CE">
        <w:rPr>
          <w:color w:val="231F20"/>
        </w:rPr>
        <w:t>in</w:t>
      </w:r>
      <w:r w:rsidRPr="00BF45CE">
        <w:rPr>
          <w:color w:val="231F20"/>
          <w:spacing w:val="-13"/>
        </w:rPr>
        <w:t xml:space="preserve"> </w:t>
      </w:r>
      <w:r w:rsidRPr="00BF45CE">
        <w:rPr>
          <w:color w:val="231F20"/>
        </w:rPr>
        <w:t>concrete.</w:t>
      </w:r>
      <w:r w:rsidRPr="00BF45CE">
        <w:rPr>
          <w:color w:val="231F20"/>
          <w:spacing w:val="-13"/>
        </w:rPr>
        <w:t xml:space="preserve"> </w:t>
      </w:r>
      <w:r w:rsidRPr="00BF45CE">
        <w:rPr>
          <w:color w:val="231F20"/>
        </w:rPr>
        <w:t>Frame</w:t>
      </w:r>
      <w:r w:rsidRPr="00BF45CE">
        <w:rPr>
          <w:color w:val="231F20"/>
          <w:spacing w:val="-12"/>
        </w:rPr>
        <w:t xml:space="preserve"> </w:t>
      </w:r>
      <w:r w:rsidRPr="00BF45CE">
        <w:rPr>
          <w:color w:val="231F20"/>
        </w:rPr>
        <w:t>with lifting eyes.</w:t>
      </w:r>
    </w:p>
    <w:p w14:paraId="55035F85" w14:textId="77777777" w:rsidR="00BF45CE" w:rsidRPr="00BF45CE" w:rsidRDefault="00BF45CE" w:rsidP="00BF45CE">
      <w:pPr>
        <w:pStyle w:val="Textkrper"/>
        <w:spacing w:after="120" w:line="276" w:lineRule="auto"/>
        <w:ind w:right="1159"/>
      </w:pPr>
      <w:r w:rsidRPr="00BF45CE">
        <w:rPr>
          <w:color w:val="231F20"/>
        </w:rPr>
        <w:t>Frame and door shielded arc-welded and acid bath cleaned</w:t>
      </w:r>
      <w:r w:rsidRPr="00BF45CE">
        <w:rPr>
          <w:color w:val="231F20"/>
          <w:spacing w:val="-12"/>
        </w:rPr>
        <w:t xml:space="preserve"> </w:t>
      </w:r>
      <w:r w:rsidRPr="00BF45CE">
        <w:rPr>
          <w:color w:val="231F20"/>
        </w:rPr>
        <w:t>before</w:t>
      </w:r>
      <w:r w:rsidRPr="00BF45CE">
        <w:rPr>
          <w:color w:val="231F20"/>
          <w:spacing w:val="-12"/>
        </w:rPr>
        <w:t xml:space="preserve"> </w:t>
      </w:r>
      <w:r w:rsidRPr="00BF45CE">
        <w:rPr>
          <w:color w:val="231F20"/>
        </w:rPr>
        <w:t>washing,</w:t>
      </w:r>
      <w:r w:rsidRPr="00BF45CE">
        <w:rPr>
          <w:color w:val="231F20"/>
          <w:spacing w:val="-11"/>
        </w:rPr>
        <w:t xml:space="preserve"> </w:t>
      </w:r>
      <w:r w:rsidRPr="00BF45CE">
        <w:rPr>
          <w:color w:val="231F20"/>
        </w:rPr>
        <w:t>drying</w:t>
      </w:r>
      <w:r w:rsidRPr="00BF45CE">
        <w:rPr>
          <w:color w:val="231F20"/>
          <w:spacing w:val="-12"/>
        </w:rPr>
        <w:t xml:space="preserve"> </w:t>
      </w:r>
      <w:r w:rsidRPr="00BF45CE">
        <w:rPr>
          <w:color w:val="231F20"/>
        </w:rPr>
        <w:t>and</w:t>
      </w:r>
      <w:r w:rsidRPr="00BF45CE">
        <w:rPr>
          <w:color w:val="231F20"/>
          <w:spacing w:val="-12"/>
        </w:rPr>
        <w:t xml:space="preserve"> </w:t>
      </w:r>
      <w:r w:rsidRPr="00BF45CE">
        <w:rPr>
          <w:color w:val="231F20"/>
        </w:rPr>
        <w:t>surface</w:t>
      </w:r>
      <w:r w:rsidRPr="00BF45CE">
        <w:rPr>
          <w:color w:val="231F20"/>
          <w:spacing w:val="-12"/>
        </w:rPr>
        <w:t xml:space="preserve"> </w:t>
      </w:r>
      <w:r w:rsidRPr="00BF45CE">
        <w:rPr>
          <w:color w:val="231F20"/>
        </w:rPr>
        <w:t>passivation.</w:t>
      </w:r>
    </w:p>
    <w:p w14:paraId="666ABA59" w14:textId="77777777" w:rsidR="00BF45CE" w:rsidRDefault="00BF45CE" w:rsidP="00BF45CE">
      <w:pPr>
        <w:spacing w:after="120" w:line="276" w:lineRule="auto"/>
        <w:ind w:right="1159"/>
        <w:rPr>
          <w:b/>
          <w:color w:val="231F20"/>
          <w:sz w:val="18"/>
          <w:szCs w:val="18"/>
          <w:u w:val="single" w:color="231F20"/>
        </w:rPr>
      </w:pPr>
    </w:p>
    <w:p w14:paraId="71E9E9E6" w14:textId="37CBE6EA" w:rsidR="00BF45CE" w:rsidRPr="00BF45CE" w:rsidRDefault="00BF45CE" w:rsidP="00BF45CE">
      <w:pPr>
        <w:spacing w:after="120" w:line="276" w:lineRule="auto"/>
        <w:ind w:right="1159"/>
        <w:rPr>
          <w:b/>
          <w:sz w:val="18"/>
          <w:szCs w:val="18"/>
        </w:rPr>
      </w:pPr>
      <w:r w:rsidRPr="00BF45CE">
        <w:rPr>
          <w:b/>
          <w:color w:val="231F20"/>
          <w:sz w:val="18"/>
          <w:szCs w:val="18"/>
          <w:u w:val="single" w:color="231F20"/>
        </w:rPr>
        <w:t>Note:</w:t>
      </w:r>
      <w:r w:rsidRPr="00BF45CE">
        <w:rPr>
          <w:b/>
          <w:color w:val="231F20"/>
          <w:sz w:val="18"/>
          <w:szCs w:val="18"/>
        </w:rPr>
        <w:t xml:space="preserve"> Guarantee for tightness between the frame and concrete is only provided if the concrete</w:t>
      </w:r>
      <w:r w:rsidRPr="00BF45CE">
        <w:rPr>
          <w:b/>
          <w:color w:val="231F20"/>
          <w:spacing w:val="-13"/>
          <w:sz w:val="18"/>
          <w:szCs w:val="18"/>
        </w:rPr>
        <w:t xml:space="preserve"> </w:t>
      </w:r>
      <w:r w:rsidRPr="00BF45CE">
        <w:rPr>
          <w:b/>
          <w:color w:val="231F20"/>
          <w:sz w:val="18"/>
          <w:szCs w:val="18"/>
        </w:rPr>
        <w:t>structure</w:t>
      </w:r>
      <w:r w:rsidRPr="00BF45CE">
        <w:rPr>
          <w:b/>
          <w:color w:val="231F20"/>
          <w:spacing w:val="-13"/>
          <w:sz w:val="18"/>
          <w:szCs w:val="18"/>
        </w:rPr>
        <w:t xml:space="preserve"> </w:t>
      </w:r>
      <w:r w:rsidRPr="00BF45CE">
        <w:rPr>
          <w:b/>
          <w:color w:val="231F20"/>
          <w:sz w:val="18"/>
          <w:szCs w:val="18"/>
        </w:rPr>
        <w:t>is</w:t>
      </w:r>
      <w:r w:rsidRPr="00BF45CE">
        <w:rPr>
          <w:b/>
          <w:color w:val="231F20"/>
          <w:spacing w:val="-13"/>
          <w:sz w:val="18"/>
          <w:szCs w:val="18"/>
        </w:rPr>
        <w:t xml:space="preserve"> </w:t>
      </w:r>
      <w:r w:rsidRPr="00BF45CE">
        <w:rPr>
          <w:b/>
          <w:color w:val="231F20"/>
          <w:sz w:val="18"/>
          <w:szCs w:val="18"/>
        </w:rPr>
        <w:t>homogeneous</w:t>
      </w:r>
      <w:r w:rsidRPr="00BF45CE">
        <w:rPr>
          <w:b/>
          <w:color w:val="231F20"/>
          <w:spacing w:val="-13"/>
          <w:sz w:val="18"/>
          <w:szCs w:val="18"/>
        </w:rPr>
        <w:t xml:space="preserve"> </w:t>
      </w:r>
      <w:r w:rsidRPr="00BF45CE">
        <w:rPr>
          <w:b/>
          <w:color w:val="231F20"/>
          <w:sz w:val="18"/>
          <w:szCs w:val="18"/>
        </w:rPr>
        <w:t>all</w:t>
      </w:r>
      <w:r w:rsidRPr="00BF45CE">
        <w:rPr>
          <w:b/>
          <w:color w:val="231F20"/>
          <w:spacing w:val="-13"/>
          <w:sz w:val="18"/>
          <w:szCs w:val="18"/>
        </w:rPr>
        <w:t xml:space="preserve"> </w:t>
      </w:r>
      <w:r w:rsidRPr="00BF45CE">
        <w:rPr>
          <w:b/>
          <w:color w:val="231F20"/>
          <w:sz w:val="18"/>
          <w:szCs w:val="18"/>
        </w:rPr>
        <w:t>around</w:t>
      </w:r>
      <w:r>
        <w:rPr>
          <w:b/>
          <w:sz w:val="18"/>
          <w:szCs w:val="18"/>
        </w:rPr>
        <w:t xml:space="preserve"> </w:t>
      </w:r>
      <w:r w:rsidRPr="00BF45CE">
        <w:rPr>
          <w:b/>
          <w:color w:val="231F20"/>
          <w:sz w:val="18"/>
          <w:szCs w:val="18"/>
        </w:rPr>
        <w:t>the</w:t>
      </w:r>
      <w:r w:rsidRPr="00BF45CE">
        <w:rPr>
          <w:b/>
          <w:color w:val="231F20"/>
          <w:spacing w:val="-3"/>
          <w:sz w:val="18"/>
          <w:szCs w:val="18"/>
        </w:rPr>
        <w:t xml:space="preserve"> </w:t>
      </w:r>
      <w:r w:rsidRPr="00BF45CE">
        <w:rPr>
          <w:b/>
          <w:color w:val="231F20"/>
          <w:sz w:val="18"/>
          <w:szCs w:val="18"/>
        </w:rPr>
        <w:t>circumference.</w:t>
      </w:r>
      <w:r w:rsidRPr="00BF45CE">
        <w:rPr>
          <w:b/>
          <w:color w:val="231F20"/>
          <w:spacing w:val="-3"/>
          <w:sz w:val="18"/>
          <w:szCs w:val="18"/>
        </w:rPr>
        <w:t xml:space="preserve"> </w:t>
      </w:r>
      <w:r w:rsidRPr="00BF45CE">
        <w:rPr>
          <w:b/>
          <w:color w:val="231F20"/>
          <w:sz w:val="18"/>
          <w:szCs w:val="18"/>
        </w:rPr>
        <w:t>The</w:t>
      </w:r>
      <w:r w:rsidRPr="00BF45CE">
        <w:rPr>
          <w:b/>
          <w:color w:val="231F20"/>
          <w:spacing w:val="-3"/>
          <w:sz w:val="18"/>
          <w:szCs w:val="18"/>
        </w:rPr>
        <w:t xml:space="preserve"> </w:t>
      </w:r>
      <w:r w:rsidRPr="00BF45CE">
        <w:rPr>
          <w:b/>
          <w:color w:val="231F20"/>
          <w:sz w:val="18"/>
          <w:szCs w:val="18"/>
        </w:rPr>
        <w:t>minimum</w:t>
      </w:r>
      <w:r w:rsidRPr="00BF45CE">
        <w:rPr>
          <w:b/>
          <w:color w:val="231F20"/>
          <w:spacing w:val="-3"/>
          <w:sz w:val="18"/>
          <w:szCs w:val="18"/>
        </w:rPr>
        <w:t xml:space="preserve"> </w:t>
      </w:r>
      <w:r w:rsidRPr="00BF45CE">
        <w:rPr>
          <w:b/>
          <w:color w:val="231F20"/>
          <w:sz w:val="18"/>
          <w:szCs w:val="18"/>
        </w:rPr>
        <w:t>concrete</w:t>
      </w:r>
      <w:r w:rsidRPr="00BF45CE">
        <w:rPr>
          <w:b/>
          <w:color w:val="231F20"/>
          <w:spacing w:val="-3"/>
          <w:sz w:val="18"/>
          <w:szCs w:val="18"/>
        </w:rPr>
        <w:t xml:space="preserve"> </w:t>
      </w:r>
      <w:r w:rsidRPr="00BF45CE">
        <w:rPr>
          <w:b/>
          <w:color w:val="231F20"/>
          <w:sz w:val="18"/>
          <w:szCs w:val="18"/>
        </w:rPr>
        <w:t>quality and corresponding concrete classes are to be determined</w:t>
      </w:r>
      <w:r w:rsidRPr="00BF45CE">
        <w:rPr>
          <w:b/>
          <w:color w:val="231F20"/>
          <w:spacing w:val="-14"/>
          <w:sz w:val="18"/>
          <w:szCs w:val="18"/>
        </w:rPr>
        <w:t xml:space="preserve"> </w:t>
      </w:r>
      <w:r w:rsidRPr="00BF45CE">
        <w:rPr>
          <w:b/>
          <w:color w:val="231F20"/>
          <w:sz w:val="18"/>
          <w:szCs w:val="18"/>
        </w:rPr>
        <w:t>by</w:t>
      </w:r>
      <w:r w:rsidRPr="00BF45CE">
        <w:rPr>
          <w:b/>
          <w:color w:val="231F20"/>
          <w:spacing w:val="-14"/>
          <w:sz w:val="18"/>
          <w:szCs w:val="18"/>
        </w:rPr>
        <w:t xml:space="preserve"> </w:t>
      </w:r>
      <w:r w:rsidRPr="00BF45CE">
        <w:rPr>
          <w:b/>
          <w:color w:val="231F20"/>
          <w:sz w:val="18"/>
          <w:szCs w:val="18"/>
        </w:rPr>
        <w:t>the</w:t>
      </w:r>
      <w:r w:rsidRPr="00BF45CE">
        <w:rPr>
          <w:b/>
          <w:color w:val="231F20"/>
          <w:spacing w:val="-14"/>
          <w:sz w:val="18"/>
          <w:szCs w:val="18"/>
        </w:rPr>
        <w:t xml:space="preserve"> </w:t>
      </w:r>
      <w:r w:rsidRPr="00BF45CE">
        <w:rPr>
          <w:b/>
          <w:color w:val="231F20"/>
          <w:sz w:val="18"/>
          <w:szCs w:val="18"/>
        </w:rPr>
        <w:t>customer.</w:t>
      </w:r>
      <w:r w:rsidRPr="00BF45CE">
        <w:rPr>
          <w:b/>
          <w:color w:val="231F20"/>
          <w:spacing w:val="-14"/>
          <w:sz w:val="18"/>
          <w:szCs w:val="18"/>
        </w:rPr>
        <w:t xml:space="preserve"> </w:t>
      </w:r>
      <w:r w:rsidRPr="00BF45CE">
        <w:rPr>
          <w:b/>
          <w:color w:val="231F20"/>
          <w:sz w:val="18"/>
          <w:szCs w:val="18"/>
        </w:rPr>
        <w:t>In</w:t>
      </w:r>
      <w:r w:rsidRPr="00BF45CE">
        <w:rPr>
          <w:b/>
          <w:color w:val="231F20"/>
          <w:spacing w:val="-14"/>
          <w:sz w:val="18"/>
          <w:szCs w:val="18"/>
        </w:rPr>
        <w:t xml:space="preserve"> </w:t>
      </w:r>
      <w:r w:rsidRPr="00BF45CE">
        <w:rPr>
          <w:b/>
          <w:color w:val="231F20"/>
          <w:sz w:val="18"/>
          <w:szCs w:val="18"/>
        </w:rPr>
        <w:t>the</w:t>
      </w:r>
      <w:r w:rsidRPr="00BF45CE">
        <w:rPr>
          <w:b/>
          <w:color w:val="231F20"/>
          <w:spacing w:val="-14"/>
          <w:sz w:val="18"/>
          <w:szCs w:val="18"/>
        </w:rPr>
        <w:t xml:space="preserve"> </w:t>
      </w:r>
      <w:r w:rsidRPr="00BF45CE">
        <w:rPr>
          <w:b/>
          <w:color w:val="231F20"/>
          <w:sz w:val="18"/>
          <w:szCs w:val="18"/>
        </w:rPr>
        <w:t>case</w:t>
      </w:r>
      <w:r w:rsidRPr="00BF45CE">
        <w:rPr>
          <w:b/>
          <w:color w:val="231F20"/>
          <w:spacing w:val="-14"/>
          <w:sz w:val="18"/>
          <w:szCs w:val="18"/>
        </w:rPr>
        <w:t xml:space="preserve"> </w:t>
      </w:r>
      <w:r w:rsidRPr="00BF45CE">
        <w:rPr>
          <w:b/>
          <w:color w:val="231F20"/>
          <w:sz w:val="18"/>
          <w:szCs w:val="18"/>
        </w:rPr>
        <w:t>of</w:t>
      </w:r>
      <w:r w:rsidRPr="00BF45CE">
        <w:rPr>
          <w:b/>
          <w:color w:val="231F20"/>
          <w:spacing w:val="-14"/>
          <w:sz w:val="18"/>
          <w:szCs w:val="18"/>
        </w:rPr>
        <w:t xml:space="preserve"> </w:t>
      </w:r>
      <w:r w:rsidRPr="00BF45CE">
        <w:rPr>
          <w:b/>
          <w:color w:val="231F20"/>
          <w:sz w:val="18"/>
          <w:szCs w:val="18"/>
        </w:rPr>
        <w:t>frames for retrofitting, the manufacturer‘s specifications for the fixing material must be observed.</w:t>
      </w:r>
    </w:p>
    <w:p w14:paraId="35BF0CE0" w14:textId="77777777" w:rsidR="00BF45CE" w:rsidRPr="00BF45CE" w:rsidRDefault="00BF45CE" w:rsidP="00BF45CE">
      <w:pPr>
        <w:pStyle w:val="Textkrper"/>
        <w:spacing w:after="120" w:line="276" w:lineRule="auto"/>
        <w:ind w:right="1159"/>
        <w:rPr>
          <w:b/>
        </w:rPr>
      </w:pPr>
    </w:p>
    <w:p w14:paraId="7D5DABA3" w14:textId="77777777" w:rsidR="00BF45CE" w:rsidRPr="00BF45CE" w:rsidRDefault="00BF45CE" w:rsidP="00BF45CE">
      <w:pPr>
        <w:spacing w:after="120" w:line="276" w:lineRule="auto"/>
        <w:ind w:left="284" w:right="1159" w:hanging="284"/>
        <w:rPr>
          <w:b/>
          <w:sz w:val="18"/>
          <w:szCs w:val="18"/>
        </w:rPr>
      </w:pPr>
      <w:r w:rsidRPr="00BF45CE">
        <w:rPr>
          <w:b/>
          <w:color w:val="231F20"/>
          <w:sz w:val="18"/>
          <w:szCs w:val="18"/>
        </w:rPr>
        <w:t>Ordering options: Door</w:t>
      </w:r>
      <w:r w:rsidRPr="00BF45CE">
        <w:rPr>
          <w:b/>
          <w:color w:val="231F20"/>
          <w:spacing w:val="-15"/>
          <w:sz w:val="18"/>
          <w:szCs w:val="18"/>
        </w:rPr>
        <w:t xml:space="preserve"> </w:t>
      </w:r>
      <w:r w:rsidRPr="00BF45CE">
        <w:rPr>
          <w:b/>
          <w:color w:val="231F20"/>
          <w:sz w:val="18"/>
          <w:szCs w:val="18"/>
        </w:rPr>
        <w:t>opening</w:t>
      </w:r>
      <w:r w:rsidRPr="00BF45CE">
        <w:rPr>
          <w:b/>
          <w:color w:val="231F20"/>
          <w:spacing w:val="-14"/>
          <w:sz w:val="18"/>
          <w:szCs w:val="18"/>
        </w:rPr>
        <w:t xml:space="preserve"> </w:t>
      </w:r>
      <w:r w:rsidRPr="00BF45CE">
        <w:rPr>
          <w:b/>
          <w:color w:val="231F20"/>
          <w:sz w:val="18"/>
          <w:szCs w:val="18"/>
        </w:rPr>
        <w:t>options:</w:t>
      </w:r>
    </w:p>
    <w:p w14:paraId="0D8E8A3F" w14:textId="77777777" w:rsidR="00BF45CE" w:rsidRPr="00BF45CE" w:rsidRDefault="00BF45CE" w:rsidP="00BF45CE">
      <w:pPr>
        <w:pStyle w:val="Textkrper"/>
        <w:spacing w:after="120" w:line="276" w:lineRule="auto"/>
        <w:ind w:left="284" w:right="1159" w:hanging="284"/>
      </w:pPr>
      <w:r w:rsidRPr="00BF45CE">
        <w:rPr>
          <w:color w:val="231F20"/>
        </w:rPr>
        <w:t>➤</w:t>
      </w:r>
      <w:r w:rsidRPr="00BF45CE">
        <w:rPr>
          <w:color w:val="231F20"/>
          <w:spacing w:val="65"/>
        </w:rPr>
        <w:t xml:space="preserve"> </w:t>
      </w:r>
      <w:r w:rsidRPr="00BF45CE">
        <w:rPr>
          <w:color w:val="231F20"/>
        </w:rPr>
        <w:t>Hinges</w:t>
      </w:r>
      <w:r w:rsidRPr="00BF45CE">
        <w:rPr>
          <w:color w:val="231F20"/>
          <w:spacing w:val="-6"/>
        </w:rPr>
        <w:t xml:space="preserve"> </w:t>
      </w:r>
      <w:r w:rsidRPr="00BF45CE">
        <w:rPr>
          <w:color w:val="231F20"/>
        </w:rPr>
        <w:t>on</w:t>
      </w:r>
      <w:r w:rsidRPr="00BF45CE">
        <w:rPr>
          <w:color w:val="231F20"/>
          <w:spacing w:val="-6"/>
        </w:rPr>
        <w:t xml:space="preserve"> </w:t>
      </w:r>
      <w:r w:rsidRPr="00BF45CE">
        <w:rPr>
          <w:color w:val="231F20"/>
          <w:spacing w:val="-4"/>
        </w:rPr>
        <w:t>left</w:t>
      </w:r>
    </w:p>
    <w:p w14:paraId="305A5A72" w14:textId="77777777" w:rsidR="00BF45CE" w:rsidRPr="00BF45CE" w:rsidRDefault="00BF45CE" w:rsidP="00BF45CE">
      <w:pPr>
        <w:pStyle w:val="Textkrper"/>
        <w:spacing w:after="120" w:line="276" w:lineRule="auto"/>
        <w:ind w:left="284" w:right="1159" w:hanging="284"/>
      </w:pPr>
      <w:r w:rsidRPr="00BF45CE">
        <w:rPr>
          <w:color w:val="231F20"/>
        </w:rPr>
        <w:t>➤</w:t>
      </w:r>
      <w:r w:rsidRPr="00BF45CE">
        <w:rPr>
          <w:color w:val="231F20"/>
          <w:spacing w:val="65"/>
        </w:rPr>
        <w:t xml:space="preserve"> </w:t>
      </w:r>
      <w:r w:rsidRPr="00BF45CE">
        <w:rPr>
          <w:color w:val="231F20"/>
        </w:rPr>
        <w:t>Hinges</w:t>
      </w:r>
      <w:r w:rsidRPr="00BF45CE">
        <w:rPr>
          <w:color w:val="231F20"/>
          <w:spacing w:val="-6"/>
        </w:rPr>
        <w:t xml:space="preserve"> </w:t>
      </w:r>
      <w:r w:rsidRPr="00BF45CE">
        <w:rPr>
          <w:color w:val="231F20"/>
        </w:rPr>
        <w:t>on</w:t>
      </w:r>
      <w:r w:rsidRPr="00BF45CE">
        <w:rPr>
          <w:color w:val="231F20"/>
          <w:spacing w:val="-6"/>
        </w:rPr>
        <w:t xml:space="preserve"> </w:t>
      </w:r>
      <w:r w:rsidRPr="00BF45CE">
        <w:rPr>
          <w:color w:val="231F20"/>
          <w:spacing w:val="-2"/>
        </w:rPr>
        <w:t>right</w:t>
      </w:r>
    </w:p>
    <w:p w14:paraId="086DE312" w14:textId="77777777" w:rsidR="00BF45CE" w:rsidRDefault="00BF45CE" w:rsidP="00BF45CE">
      <w:pPr>
        <w:spacing w:after="120" w:line="276" w:lineRule="auto"/>
        <w:ind w:left="284" w:right="1159" w:hanging="284"/>
        <w:rPr>
          <w:b/>
          <w:color w:val="231F20"/>
          <w:spacing w:val="-2"/>
          <w:sz w:val="18"/>
          <w:szCs w:val="18"/>
        </w:rPr>
      </w:pPr>
    </w:p>
    <w:p w14:paraId="10F2A886" w14:textId="24666CEF" w:rsidR="004E4737" w:rsidRPr="00BF45CE" w:rsidRDefault="005440EC" w:rsidP="00BF45CE">
      <w:pPr>
        <w:spacing w:after="120" w:line="276" w:lineRule="auto"/>
        <w:ind w:left="284" w:right="1159" w:hanging="284"/>
        <w:rPr>
          <w:b/>
          <w:sz w:val="18"/>
          <w:szCs w:val="18"/>
        </w:rPr>
      </w:pPr>
      <w:r w:rsidRPr="00BF45CE">
        <w:rPr>
          <w:b/>
          <w:color w:val="231F20"/>
          <w:spacing w:val="-2"/>
          <w:sz w:val="18"/>
          <w:szCs w:val="18"/>
        </w:rPr>
        <w:t>Options:</w:t>
      </w:r>
    </w:p>
    <w:p w14:paraId="1EBDF147" w14:textId="197A5AD0" w:rsidR="004E4737" w:rsidRPr="00BF45CE" w:rsidRDefault="005440EC" w:rsidP="00BF45CE">
      <w:pPr>
        <w:pStyle w:val="Textkrper"/>
        <w:spacing w:after="120" w:line="276" w:lineRule="auto"/>
        <w:ind w:left="284" w:right="1159" w:hanging="284"/>
      </w:pPr>
      <w:r w:rsidRPr="00BF45CE">
        <w:rPr>
          <w:color w:val="231F20"/>
        </w:rPr>
        <w:t>➤</w:t>
      </w:r>
      <w:r w:rsidRPr="00BF45CE">
        <w:rPr>
          <w:color w:val="231F20"/>
          <w:spacing w:val="80"/>
        </w:rPr>
        <w:t xml:space="preserve"> </w:t>
      </w:r>
      <w:r w:rsidRPr="00BF45CE">
        <w:rPr>
          <w:color w:val="231F20"/>
        </w:rPr>
        <w:t>Frame for retrofitting. Space requirements for the frame:</w:t>
      </w:r>
      <w:r w:rsidRPr="00BF45CE">
        <w:rPr>
          <w:color w:val="231F20"/>
          <w:spacing w:val="-11"/>
        </w:rPr>
        <w:t xml:space="preserve"> </w:t>
      </w:r>
      <w:r w:rsidRPr="00BF45CE">
        <w:rPr>
          <w:color w:val="231F20"/>
        </w:rPr>
        <w:t>180</w:t>
      </w:r>
      <w:r w:rsidRPr="00BF45CE">
        <w:rPr>
          <w:color w:val="231F20"/>
          <w:spacing w:val="-11"/>
        </w:rPr>
        <w:t xml:space="preserve"> </w:t>
      </w:r>
      <w:r w:rsidRPr="00BF45CE">
        <w:rPr>
          <w:color w:val="231F20"/>
        </w:rPr>
        <w:t>mm,</w:t>
      </w:r>
      <w:r w:rsidRPr="00BF45CE">
        <w:rPr>
          <w:color w:val="231F20"/>
          <w:spacing w:val="-11"/>
        </w:rPr>
        <w:t xml:space="preserve"> </w:t>
      </w:r>
      <w:r w:rsidRPr="00BF45CE">
        <w:rPr>
          <w:color w:val="231F20"/>
        </w:rPr>
        <w:t>circumferential</w:t>
      </w:r>
      <w:r w:rsidRPr="00BF45CE">
        <w:rPr>
          <w:color w:val="231F20"/>
          <w:spacing w:val="-11"/>
        </w:rPr>
        <w:t xml:space="preserve"> </w:t>
      </w:r>
      <w:r w:rsidRPr="00BF45CE">
        <w:rPr>
          <w:color w:val="231F20"/>
        </w:rPr>
        <w:t>frame</w:t>
      </w:r>
      <w:r w:rsidRPr="00BF45CE">
        <w:rPr>
          <w:color w:val="231F20"/>
          <w:spacing w:val="-11"/>
        </w:rPr>
        <w:t xml:space="preserve"> </w:t>
      </w:r>
      <w:r w:rsidRPr="00BF45CE">
        <w:rPr>
          <w:color w:val="231F20"/>
        </w:rPr>
        <w:t>on</w:t>
      </w:r>
      <w:r w:rsidRPr="00BF45CE">
        <w:rPr>
          <w:color w:val="231F20"/>
          <w:spacing w:val="-11"/>
        </w:rPr>
        <w:t xml:space="preserve"> </w:t>
      </w:r>
      <w:r w:rsidRPr="00BF45CE">
        <w:rPr>
          <w:color w:val="231F20"/>
        </w:rPr>
        <w:t>four</w:t>
      </w:r>
      <w:r w:rsidRPr="00BF45CE">
        <w:rPr>
          <w:color w:val="231F20"/>
          <w:spacing w:val="-11"/>
        </w:rPr>
        <w:t xml:space="preserve"> </w:t>
      </w:r>
      <w:r w:rsidRPr="00BF45CE">
        <w:rPr>
          <w:color w:val="231F20"/>
        </w:rPr>
        <w:t>sides. Prerequisite</w:t>
      </w:r>
      <w:r w:rsidRPr="00BF45CE">
        <w:rPr>
          <w:color w:val="231F20"/>
          <w:spacing w:val="-4"/>
        </w:rPr>
        <w:t xml:space="preserve"> </w:t>
      </w:r>
      <w:r w:rsidRPr="00BF45CE">
        <w:rPr>
          <w:color w:val="231F20"/>
        </w:rPr>
        <w:t>is</w:t>
      </w:r>
      <w:r w:rsidRPr="00BF45CE">
        <w:rPr>
          <w:color w:val="231F20"/>
          <w:spacing w:val="-4"/>
        </w:rPr>
        <w:t xml:space="preserve"> </w:t>
      </w:r>
      <w:r w:rsidRPr="00BF45CE">
        <w:rPr>
          <w:color w:val="231F20"/>
        </w:rPr>
        <w:t>a</w:t>
      </w:r>
      <w:r w:rsidRPr="00BF45CE">
        <w:rPr>
          <w:color w:val="231F20"/>
          <w:spacing w:val="-4"/>
        </w:rPr>
        <w:t xml:space="preserve"> </w:t>
      </w:r>
      <w:r w:rsidRPr="00BF45CE">
        <w:rPr>
          <w:color w:val="231F20"/>
        </w:rPr>
        <w:t>plane</w:t>
      </w:r>
      <w:r w:rsidRPr="00BF45CE">
        <w:rPr>
          <w:color w:val="231F20"/>
          <w:spacing w:val="-4"/>
        </w:rPr>
        <w:t xml:space="preserve"> </w:t>
      </w:r>
      <w:r w:rsidRPr="00BF45CE">
        <w:rPr>
          <w:color w:val="231F20"/>
        </w:rPr>
        <w:t>inner</w:t>
      </w:r>
      <w:r w:rsidRPr="00BF45CE">
        <w:rPr>
          <w:color w:val="231F20"/>
          <w:spacing w:val="-4"/>
        </w:rPr>
        <w:t xml:space="preserve"> </w:t>
      </w:r>
      <w:r w:rsidRPr="00BF45CE">
        <w:rPr>
          <w:color w:val="231F20"/>
        </w:rPr>
        <w:t>wall</w:t>
      </w:r>
      <w:r w:rsidRPr="00BF45CE">
        <w:rPr>
          <w:color w:val="231F20"/>
          <w:spacing w:val="-4"/>
        </w:rPr>
        <w:t xml:space="preserve"> </w:t>
      </w:r>
      <w:r w:rsidRPr="00BF45CE">
        <w:rPr>
          <w:color w:val="231F20"/>
        </w:rPr>
        <w:t>surface,</w:t>
      </w:r>
      <w:r w:rsidRPr="00BF45CE">
        <w:rPr>
          <w:color w:val="231F20"/>
          <w:spacing w:val="-4"/>
        </w:rPr>
        <w:t xml:space="preserve"> </w:t>
      </w:r>
      <w:r w:rsidRPr="00BF45CE">
        <w:rPr>
          <w:color w:val="231F20"/>
        </w:rPr>
        <w:t>tolerance:</w:t>
      </w:r>
      <w:r w:rsidR="00BF45CE">
        <w:t xml:space="preserve"> </w:t>
      </w:r>
      <w:r w:rsidRPr="00BF45CE">
        <w:rPr>
          <w:color w:val="231F20"/>
        </w:rPr>
        <w:t>±</w:t>
      </w:r>
      <w:r w:rsidRPr="00BF45CE">
        <w:rPr>
          <w:color w:val="231F20"/>
          <w:spacing w:val="-7"/>
        </w:rPr>
        <w:t xml:space="preserve"> </w:t>
      </w:r>
      <w:r w:rsidRPr="00BF45CE">
        <w:rPr>
          <w:color w:val="231F20"/>
        </w:rPr>
        <w:t>1</w:t>
      </w:r>
      <w:r w:rsidRPr="00BF45CE">
        <w:rPr>
          <w:color w:val="231F20"/>
          <w:spacing w:val="-7"/>
        </w:rPr>
        <w:t xml:space="preserve"> </w:t>
      </w:r>
      <w:r w:rsidRPr="00BF45CE">
        <w:rPr>
          <w:color w:val="231F20"/>
        </w:rPr>
        <w:t>mm</w:t>
      </w:r>
      <w:r w:rsidRPr="00BF45CE">
        <w:rPr>
          <w:color w:val="231F20"/>
          <w:spacing w:val="-7"/>
        </w:rPr>
        <w:t xml:space="preserve"> </w:t>
      </w:r>
      <w:r w:rsidRPr="00BF45CE">
        <w:rPr>
          <w:color w:val="231F20"/>
        </w:rPr>
        <w:t>per</w:t>
      </w:r>
      <w:r w:rsidRPr="00BF45CE">
        <w:rPr>
          <w:color w:val="231F20"/>
          <w:spacing w:val="-6"/>
        </w:rPr>
        <w:t xml:space="preserve"> </w:t>
      </w:r>
      <w:proofErr w:type="spellStart"/>
      <w:r w:rsidRPr="00BF45CE">
        <w:rPr>
          <w:color w:val="231F20"/>
          <w:spacing w:val="-2"/>
        </w:rPr>
        <w:t>metre</w:t>
      </w:r>
      <w:proofErr w:type="spellEnd"/>
    </w:p>
    <w:p w14:paraId="77DDEAB6" w14:textId="77777777" w:rsidR="004E4737" w:rsidRPr="00BF45CE" w:rsidRDefault="005440EC" w:rsidP="00BF45CE">
      <w:pPr>
        <w:pStyle w:val="Textkrper"/>
        <w:spacing w:after="120" w:line="276" w:lineRule="auto"/>
        <w:ind w:left="284" w:right="1159" w:hanging="284"/>
      </w:pPr>
      <w:r w:rsidRPr="00BF45CE">
        <w:rPr>
          <w:color w:val="231F20"/>
        </w:rPr>
        <w:t>➤</w:t>
      </w:r>
      <w:r w:rsidRPr="00BF45CE">
        <w:rPr>
          <w:color w:val="231F20"/>
          <w:spacing w:val="61"/>
        </w:rPr>
        <w:t xml:space="preserve"> </w:t>
      </w:r>
      <w:r w:rsidRPr="00BF45CE">
        <w:rPr>
          <w:color w:val="231F20"/>
        </w:rPr>
        <w:t>Sanding</w:t>
      </w:r>
      <w:r w:rsidRPr="00BF45CE">
        <w:rPr>
          <w:color w:val="231F20"/>
          <w:spacing w:val="-6"/>
        </w:rPr>
        <w:t xml:space="preserve"> </w:t>
      </w:r>
      <w:r w:rsidRPr="00BF45CE">
        <w:rPr>
          <w:color w:val="231F20"/>
        </w:rPr>
        <w:t>of</w:t>
      </w:r>
      <w:r w:rsidRPr="00BF45CE">
        <w:rPr>
          <w:color w:val="231F20"/>
          <w:spacing w:val="-8"/>
        </w:rPr>
        <w:t xml:space="preserve"> </w:t>
      </w:r>
      <w:r w:rsidRPr="00BF45CE">
        <w:rPr>
          <w:color w:val="231F20"/>
        </w:rPr>
        <w:t>frame</w:t>
      </w:r>
      <w:r w:rsidRPr="00BF45CE">
        <w:rPr>
          <w:color w:val="231F20"/>
          <w:spacing w:val="-7"/>
        </w:rPr>
        <w:t xml:space="preserve"> </w:t>
      </w:r>
      <w:r w:rsidRPr="00BF45CE">
        <w:rPr>
          <w:color w:val="231F20"/>
        </w:rPr>
        <w:t>parts</w:t>
      </w:r>
      <w:r w:rsidRPr="00BF45CE">
        <w:rPr>
          <w:color w:val="231F20"/>
          <w:spacing w:val="-8"/>
        </w:rPr>
        <w:t xml:space="preserve"> </w:t>
      </w:r>
      <w:r w:rsidRPr="00BF45CE">
        <w:rPr>
          <w:color w:val="231F20"/>
        </w:rPr>
        <w:t>in</w:t>
      </w:r>
      <w:r w:rsidRPr="00BF45CE">
        <w:rPr>
          <w:color w:val="231F20"/>
          <w:spacing w:val="-7"/>
        </w:rPr>
        <w:t xml:space="preserve"> </w:t>
      </w:r>
      <w:r w:rsidRPr="00BF45CE">
        <w:rPr>
          <w:color w:val="231F20"/>
        </w:rPr>
        <w:t>contact</w:t>
      </w:r>
      <w:r w:rsidRPr="00BF45CE">
        <w:rPr>
          <w:color w:val="231F20"/>
          <w:spacing w:val="-8"/>
        </w:rPr>
        <w:t xml:space="preserve"> </w:t>
      </w:r>
      <w:r w:rsidRPr="00BF45CE">
        <w:rPr>
          <w:color w:val="231F20"/>
        </w:rPr>
        <w:t>with</w:t>
      </w:r>
      <w:r w:rsidRPr="00BF45CE">
        <w:rPr>
          <w:color w:val="231F20"/>
          <w:spacing w:val="-7"/>
        </w:rPr>
        <w:t xml:space="preserve"> </w:t>
      </w:r>
      <w:r w:rsidRPr="00BF45CE">
        <w:rPr>
          <w:color w:val="231F20"/>
          <w:spacing w:val="-2"/>
        </w:rPr>
        <w:t>concrete</w:t>
      </w:r>
    </w:p>
    <w:p w14:paraId="3FFE018A" w14:textId="4CEE73B0" w:rsidR="004E4737" w:rsidRPr="00BF45CE" w:rsidRDefault="005440EC" w:rsidP="00BF45CE">
      <w:pPr>
        <w:pStyle w:val="Textkrper"/>
        <w:spacing w:after="120" w:line="276" w:lineRule="auto"/>
        <w:ind w:left="284" w:right="1159" w:hanging="284"/>
      </w:pPr>
      <w:r w:rsidRPr="00BF45CE">
        <w:rPr>
          <w:color w:val="231F20"/>
        </w:rPr>
        <w:t>➤</w:t>
      </w:r>
      <w:r w:rsidRPr="00BF45CE">
        <w:rPr>
          <w:color w:val="231F20"/>
          <w:spacing w:val="58"/>
        </w:rPr>
        <w:t xml:space="preserve"> </w:t>
      </w:r>
      <w:r w:rsidRPr="00BF45CE">
        <w:rPr>
          <w:color w:val="231F20"/>
        </w:rPr>
        <w:t>Vent</w:t>
      </w:r>
      <w:r w:rsidRPr="00BF45CE">
        <w:rPr>
          <w:color w:val="231F20"/>
          <w:spacing w:val="-8"/>
        </w:rPr>
        <w:t xml:space="preserve"> </w:t>
      </w:r>
      <w:r w:rsidRPr="00BF45CE">
        <w:rPr>
          <w:color w:val="231F20"/>
        </w:rPr>
        <w:t>holes</w:t>
      </w:r>
      <w:r w:rsidRPr="00BF45CE">
        <w:rPr>
          <w:color w:val="231F20"/>
          <w:spacing w:val="-9"/>
        </w:rPr>
        <w:t xml:space="preserve"> </w:t>
      </w:r>
      <w:r w:rsidRPr="00BF45CE">
        <w:rPr>
          <w:color w:val="231F20"/>
        </w:rPr>
        <w:t>in</w:t>
      </w:r>
      <w:r w:rsidRPr="00BF45CE">
        <w:rPr>
          <w:color w:val="231F20"/>
          <w:spacing w:val="-9"/>
        </w:rPr>
        <w:t xml:space="preserve"> </w:t>
      </w:r>
      <w:r w:rsidRPr="00BF45CE">
        <w:rPr>
          <w:color w:val="231F20"/>
        </w:rPr>
        <w:t>the</w:t>
      </w:r>
      <w:r w:rsidRPr="00BF45CE">
        <w:rPr>
          <w:color w:val="231F20"/>
          <w:spacing w:val="-8"/>
        </w:rPr>
        <w:t xml:space="preserve"> </w:t>
      </w:r>
      <w:r w:rsidRPr="00BF45CE">
        <w:rPr>
          <w:color w:val="231F20"/>
          <w:spacing w:val="-2"/>
        </w:rPr>
        <w:t>frame</w:t>
      </w:r>
    </w:p>
    <w:sectPr w:rsidR="004E4737" w:rsidRPr="00BF45CE" w:rsidSect="00BF45CE">
      <w:footerReference w:type="default" r:id="rId6"/>
      <w:type w:val="continuous"/>
      <w:pgSz w:w="11910" w:h="16840"/>
      <w:pgMar w:top="1522" w:right="900" w:bottom="1560" w:left="920" w:header="0" w:footer="13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1A40" w14:textId="77777777" w:rsidR="007F3D81" w:rsidRDefault="007F3D81">
      <w:r>
        <w:separator/>
      </w:r>
    </w:p>
  </w:endnote>
  <w:endnote w:type="continuationSeparator" w:id="0">
    <w:p w14:paraId="62C7F600" w14:textId="77777777" w:rsidR="007F3D81" w:rsidRDefault="007F3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HuberTec"/>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08092" w14:textId="38F7343C" w:rsidR="004E4737" w:rsidRDefault="004E4737">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6C543" w14:textId="77777777" w:rsidR="007F3D81" w:rsidRDefault="007F3D81">
      <w:r>
        <w:separator/>
      </w:r>
    </w:p>
  </w:footnote>
  <w:footnote w:type="continuationSeparator" w:id="0">
    <w:p w14:paraId="4920824E" w14:textId="77777777" w:rsidR="007F3D81" w:rsidRDefault="007F3D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E4737"/>
    <w:rsid w:val="00433322"/>
    <w:rsid w:val="004E4737"/>
    <w:rsid w:val="005440EC"/>
    <w:rsid w:val="007F3D81"/>
    <w:rsid w:val="00BF45C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D69C6"/>
  <w15:docId w15:val="{66891FE1-1563-6B4B-9266-934F429F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rPr>
  </w:style>
  <w:style w:type="paragraph" w:styleId="berschrift1">
    <w:name w:val="heading 1"/>
    <w:basedOn w:val="Standard"/>
    <w:uiPriority w:val="9"/>
    <w:qFormat/>
    <w:pPr>
      <w:spacing w:before="100"/>
      <w:ind w:left="100"/>
      <w:outlineLvl w:val="0"/>
    </w:pPr>
    <w:rPr>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47"/>
      <w:ind w:left="228" w:right="215"/>
      <w:jc w:val="center"/>
    </w:pPr>
  </w:style>
  <w:style w:type="paragraph" w:styleId="Kopfzeile">
    <w:name w:val="header"/>
    <w:basedOn w:val="Standard"/>
    <w:link w:val="KopfzeileZchn"/>
    <w:uiPriority w:val="99"/>
    <w:unhideWhenUsed/>
    <w:rsid w:val="00BF45CE"/>
    <w:pPr>
      <w:tabs>
        <w:tab w:val="center" w:pos="4536"/>
        <w:tab w:val="right" w:pos="9072"/>
      </w:tabs>
    </w:pPr>
  </w:style>
  <w:style w:type="character" w:customStyle="1" w:styleId="KopfzeileZchn">
    <w:name w:val="Kopfzeile Zchn"/>
    <w:basedOn w:val="Absatz-Standardschriftart"/>
    <w:link w:val="Kopfzeile"/>
    <w:uiPriority w:val="99"/>
    <w:rsid w:val="00BF45CE"/>
    <w:rPr>
      <w:rFonts w:ascii="HuberTec" w:eastAsia="HuberTec" w:hAnsi="HuberTec" w:cs="HuberTec"/>
    </w:rPr>
  </w:style>
  <w:style w:type="paragraph" w:styleId="Fuzeile">
    <w:name w:val="footer"/>
    <w:basedOn w:val="Standard"/>
    <w:link w:val="FuzeileZchn"/>
    <w:uiPriority w:val="99"/>
    <w:unhideWhenUsed/>
    <w:rsid w:val="00BF45CE"/>
    <w:pPr>
      <w:tabs>
        <w:tab w:val="center" w:pos="4536"/>
        <w:tab w:val="right" w:pos="9072"/>
      </w:tabs>
    </w:pPr>
  </w:style>
  <w:style w:type="character" w:customStyle="1" w:styleId="FuzeileZchn">
    <w:name w:val="Fußzeile Zchn"/>
    <w:basedOn w:val="Absatz-Standardschriftart"/>
    <w:link w:val="Fuzeile"/>
    <w:uiPriority w:val="99"/>
    <w:rsid w:val="00BF45CE"/>
    <w:rPr>
      <w:rFonts w:ascii="HuberTec" w:eastAsia="HuberTec" w:hAnsi="HuberTec" w:cs="HuberT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a9a82e3-0ffb-40b2-86bb-ed1ddea0a2c5" ContentTypeId="0x0101005CA6114EC726784B9AD7939DE1381E5A"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TT7.30</TermName>
          <TermId xmlns="http://schemas.microsoft.com/office/infopath/2007/PartnerControls">434d7a14-e81f-4084-9caf-8e5cde805991</TermId>
        </TermInfo>
      </Terms>
    </o5db19782ec349868d03457d92fba3ae>
    <MarkerDownload xmlns="fd49ef69-0777-4e6d-8899-3bde96da5aa1">true</MarkerDownload>
    <DocStatus xmlns="fd49ef69-0777-4e6d-8899-3bde96da5aa1">active</DocStatus>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ocNote xmlns="fd49ef69-0777-4e6d-8899-3bde96da5aa1" xsi:nil="true"/>
    <dateChecked xmlns="fd49ef69-0777-4e6d-8899-3bde96da5aa1" xsi:nil="true"/>
    <TaxCatchAll xmlns="fd49ef69-0777-4e6d-8899-3bde96da5aa1">
      <Value>67</Value>
      <Value>4</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Props1.xml><?xml version="1.0" encoding="utf-8"?>
<ds:datastoreItem xmlns:ds="http://schemas.openxmlformats.org/officeDocument/2006/customXml" ds:itemID="{0352E125-14DF-49DF-B6E9-48A1DC7FA1D8}"/>
</file>

<file path=customXml/itemProps2.xml><?xml version="1.0" encoding="utf-8"?>
<ds:datastoreItem xmlns:ds="http://schemas.openxmlformats.org/officeDocument/2006/customXml" ds:itemID="{98044E22-D39B-42CC-8286-530542A7ADED}"/>
</file>

<file path=customXml/itemProps3.xml><?xml version="1.0" encoding="utf-8"?>
<ds:datastoreItem xmlns:ds="http://schemas.openxmlformats.org/officeDocument/2006/customXml" ds:itemID="{416EFB29-94B1-4B75-AC2D-FB62DB935FB9}"/>
</file>

<file path=customXml/itemProps4.xml><?xml version="1.0" encoding="utf-8"?>
<ds:datastoreItem xmlns:ds="http://schemas.openxmlformats.org/officeDocument/2006/customXml" ds:itemID="{CC9F8852-2B22-493C-B4C3-B5609B6094CB}"/>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1560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TT7.30</dc:title>
  <cp:lastModifiedBy>Bayerschmidt, Bianca</cp:lastModifiedBy>
  <cp:revision>4</cp:revision>
  <dcterms:created xsi:type="dcterms:W3CDTF">2023-05-17T12:14:00Z</dcterms:created>
  <dcterms:modified xsi:type="dcterms:W3CDTF">2023-10-20T06:40:00Z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2023-05-17T00:00:00Z</vt:filetime>
  </property>
  <property fmtid="{D5CDD505-2E9C-101B-9397-08002B2CF9AE}" pid="6" name="Producer">
    <vt:lpwstr>Adobe PDF Library 17.0</vt:lpwstr>
  </property>
  <property fmtid="{D5CDD505-2E9C-101B-9397-08002B2CF9AE}" pid="7" name="ProdShortName">
    <vt:lpwstr>67;#TT7.30|434d7a14-e81f-4084-9caf-8e5cde805991</vt:lpwstr>
  </property>
  <property fmtid="{D5CDD505-2E9C-101B-9397-08002B2CF9AE}" pid="8" name="DocLanguage">
    <vt:lpwstr>4;#english|5fc7a97b-524a-4de0-8bac-0c5f072ddc49</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